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A23B3" w14:textId="09AF6284" w:rsidR="00783AF9" w:rsidRDefault="00783AF9" w:rsidP="00783AF9">
      <w:pPr>
        <w:pStyle w:val="NoSpacing"/>
      </w:pPr>
      <w:r>
        <w:rPr>
          <w:noProof/>
        </w:rPr>
        <mc:AlternateContent>
          <mc:Choice Requires="wps">
            <w:drawing>
              <wp:anchor distT="0" distB="0" distL="114300" distR="114300" simplePos="0" relativeHeight="251671552" behindDoc="0" locked="1" layoutInCell="1" allowOverlap="1" wp14:anchorId="1C0D1AE3" wp14:editId="3DCD3B06">
                <wp:simplePos x="0" y="0"/>
                <wp:positionH relativeFrom="page">
                  <wp:posOffset>457200</wp:posOffset>
                </wp:positionH>
                <wp:positionV relativeFrom="page">
                  <wp:posOffset>914400</wp:posOffset>
                </wp:positionV>
                <wp:extent cx="320040" cy="320040"/>
                <wp:effectExtent l="0" t="0" r="3810" b="3810"/>
                <wp:wrapNone/>
                <wp:docPr id="10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0040" cy="320040"/>
                        </a:xfrm>
                        <a:custGeom>
                          <a:avLst/>
                          <a:gdLst>
                            <a:gd name="connsiteX0" fmla="*/ 0 w 685800"/>
                            <a:gd name="connsiteY0" fmla="*/ 0 h 685800"/>
                            <a:gd name="connsiteX1" fmla="*/ 685800 w 685800"/>
                            <a:gd name="connsiteY1" fmla="*/ 0 h 685800"/>
                            <a:gd name="connsiteX2" fmla="*/ 685800 w 685800"/>
                            <a:gd name="connsiteY2" fmla="*/ 685800 h 685800"/>
                            <a:gd name="connsiteX3" fmla="*/ 0 w 685800"/>
                            <a:gd name="connsiteY3" fmla="*/ 685800 h 685800"/>
                            <a:gd name="connsiteX4" fmla="*/ 0 w 685800"/>
                            <a:gd name="connsiteY4" fmla="*/ 0 h 685800"/>
                            <a:gd name="connsiteX0" fmla="*/ 0 w 685800"/>
                            <a:gd name="connsiteY0" fmla="*/ 0 h 685800"/>
                            <a:gd name="connsiteX1" fmla="*/ 685800 w 685800"/>
                            <a:gd name="connsiteY1" fmla="*/ 0 h 685800"/>
                            <a:gd name="connsiteX2" fmla="*/ 0 w 685800"/>
                            <a:gd name="connsiteY2" fmla="*/ 685800 h 685800"/>
                            <a:gd name="connsiteX3" fmla="*/ 0 w 685800"/>
                            <a:gd name="connsiteY3" fmla="*/ 0 h 685800"/>
                          </a:gdLst>
                          <a:ahLst/>
                          <a:cxnLst>
                            <a:cxn ang="0">
                              <a:pos x="connsiteX0" y="connsiteY0"/>
                            </a:cxn>
                            <a:cxn ang="0">
                              <a:pos x="connsiteX1" y="connsiteY1"/>
                            </a:cxn>
                            <a:cxn ang="0">
                              <a:pos x="connsiteX2" y="connsiteY2"/>
                            </a:cxn>
                            <a:cxn ang="0">
                              <a:pos x="connsiteX3" y="connsiteY3"/>
                            </a:cxn>
                          </a:cxnLst>
                          <a:rect l="l" t="t" r="r" b="b"/>
                          <a:pathLst>
                            <a:path w="685800" h="685800">
                              <a:moveTo>
                                <a:pt x="0" y="0"/>
                              </a:moveTo>
                              <a:lnTo>
                                <a:pt x="685800" y="0"/>
                              </a:lnTo>
                              <a:lnTo>
                                <a:pt x="0" y="685800"/>
                              </a:lnTo>
                              <a:lnTo>
                                <a:pt x="0" y="0"/>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478B6" id="Rectangle 2" o:spid="_x0000_s1026" alt="&quot;&quot;" style="position:absolute;margin-left:36pt;margin-top:1in;width:25.2pt;height:25.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858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" path="m,l685800,,,685800,,xe" fillcolor="#046b5c [3215]" stroked="f" strokeweight="1pt">
                <v:stroke joinstyle="miter"/>
                <v:path arrowok="t" o:connecttype="custom" o:connectlocs="0,0;320040,0;0,320040;0,0" o:connectangles="0,0,0,0"/>
                <o:lock v:ext="edit" aspectratio="t"/>
                <w10:wrap anchorx="page" anchory="page"/>
                <w10:anchorlock/>
              </v:shape>
            </w:pict>
          </mc:Fallback>
        </mc:AlternateContent>
      </w:r>
      <w:r>
        <w:rPr>
          <w:noProof/>
        </w:rPr>
        <w:drawing>
          <wp:anchor distT="0" distB="0" distL="114300" distR="114300" simplePos="0" relativeHeight="251669504" behindDoc="0" locked="1" layoutInCell="1" allowOverlap="1" wp14:anchorId="6CFA5BC9" wp14:editId="28630B17">
            <wp:simplePos x="0" y="0"/>
            <wp:positionH relativeFrom="page">
              <wp:posOffset>5669280</wp:posOffset>
            </wp:positionH>
            <wp:positionV relativeFrom="page">
              <wp:posOffset>283845</wp:posOffset>
            </wp:positionV>
            <wp:extent cx="1645920" cy="411480"/>
            <wp:effectExtent l="0" t="0" r="0" b="7620"/>
            <wp:wrapNone/>
            <wp:docPr id="108" name="Picture 108" descr="Mathematica logo. Progres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thematica logo. Progress Togeth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0" cy="4114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1" layoutInCell="1" allowOverlap="1" wp14:anchorId="272BFFB8" wp14:editId="5DFE06C4">
                <wp:simplePos x="0" y="0"/>
                <wp:positionH relativeFrom="page">
                  <wp:posOffset>457200</wp:posOffset>
                </wp:positionH>
                <wp:positionV relativeFrom="page">
                  <wp:posOffset>822960</wp:posOffset>
                </wp:positionV>
                <wp:extent cx="6858000" cy="0"/>
                <wp:effectExtent l="0" t="0" r="0" b="0"/>
                <wp:wrapNone/>
                <wp:docPr id="76" name="Straight Connector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5800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5F6A0A" id="Straight Connector 76" o:spid="_x0000_s1026" alt="&quot;&quot;" style="position:absolute;z-index:2516736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6pt,64.8pt" to="8in,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" strokecolor="#5b6771 [3206]" strokeweight="1pt">
                <v:stroke joinstyle="miter"/>
                <w10:wrap anchorx="page" anchory="page"/>
                <w10:anchorlock/>
              </v:line>
            </w:pict>
          </mc:Fallback>
        </mc:AlternateContent>
      </w:r>
    </w:p>
    <w:p w14:paraId="68783376" w14:textId="77777777" w:rsidR="00783AF9" w:rsidRDefault="00783AF9" w:rsidP="00822F6D">
      <w:pPr>
        <w:pStyle w:val="Banner"/>
        <w:spacing w:before="0"/>
      </w:pPr>
      <w:r w:rsidRPr="00377B01">
        <w:rPr>
          <w:b/>
        </w:rPr>
        <w:t>Issue</w:t>
      </w:r>
      <w:r>
        <w:t xml:space="preserve"> Brief</w:t>
      </w:r>
    </w:p>
    <w:p w14:paraId="665B20DD" w14:textId="20FA5DEC" w:rsidR="00783AF9" w:rsidRDefault="004B7317" w:rsidP="00CE29EA">
      <w:pPr>
        <w:pStyle w:val="Byline"/>
        <w:tabs>
          <w:tab w:val="right" w:pos="9360"/>
        </w:tabs>
        <w:ind w:right="0"/>
      </w:pPr>
      <w:hyperlink r:id="rId12" w:history="1">
        <w:r w:rsidR="00DE6FC4" w:rsidRPr="005C768A">
          <w:rPr>
            <w:rStyle w:val="Hyperlink"/>
          </w:rPr>
          <w:t>Elizabeth Mugo</w:t>
        </w:r>
      </w:hyperlink>
      <w:r w:rsidR="00DE6FC4">
        <w:t xml:space="preserve"> and </w:t>
      </w:r>
      <w:hyperlink r:id="rId13" w:history="1">
        <w:r w:rsidR="00DE6FC4" w:rsidRPr="00E30461">
          <w:rPr>
            <w:rStyle w:val="Hyperlink"/>
          </w:rPr>
          <w:t>Ryan Ruggiero</w:t>
        </w:r>
      </w:hyperlink>
      <w:r w:rsidR="00CE29EA">
        <w:tab/>
        <w:t>June 2024</w:t>
      </w:r>
    </w:p>
    <w:p w14:paraId="5108BDD0" w14:textId="1B04B6A0" w:rsidR="003C7BFF" w:rsidRDefault="00DE6FC4" w:rsidP="00CE29EA">
      <w:pPr>
        <w:pStyle w:val="Title2"/>
        <w:spacing w:line="240" w:lineRule="auto"/>
        <w:ind w:right="-360"/>
      </w:pPr>
      <w:r>
        <w:t>Advancing Family Economic Mobility in Mississippi Through a Peer-to-Peer Statewide Learning Network</w:t>
      </w:r>
    </w:p>
    <w:tbl>
      <w:tblPr>
        <w:tblW w:w="5000" w:type="pct"/>
        <w:shd w:val="clear" w:color="auto" w:fill="F8F6F0" w:themeFill="background2" w:themeFillTint="33"/>
        <w:tblCellMar>
          <w:top w:w="72" w:type="dxa"/>
          <w:left w:w="144" w:type="dxa"/>
          <w:bottom w:w="72" w:type="dxa"/>
          <w:right w:w="144" w:type="dxa"/>
        </w:tblCellMar>
        <w:tblLook w:val="0620" w:firstRow="1" w:lastRow="0" w:firstColumn="0" w:lastColumn="0" w:noHBand="1" w:noVBand="1"/>
      </w:tblPr>
      <w:tblGrid>
        <w:gridCol w:w="9360"/>
      </w:tblGrid>
      <w:tr w:rsidR="003C7BFF" w14:paraId="78B5C0B7" w14:textId="77777777" w:rsidTr="003A7D29">
        <w:tc>
          <w:tcPr>
            <w:tcW w:w="5000" w:type="pct"/>
            <w:shd w:val="clear" w:color="auto" w:fill="F8F6F0" w:themeFill="background2" w:themeFillTint="33"/>
          </w:tcPr>
          <w:p w14:paraId="0140037E" w14:textId="77777777" w:rsidR="00DE6FC4" w:rsidRDefault="00DE6FC4" w:rsidP="00BC0CE6">
            <w:pPr>
              <w:pStyle w:val="Introduction"/>
              <w:rPr>
                <w:szCs w:val="20"/>
              </w:rPr>
            </w:pPr>
            <w:bookmarkStart w:id="0" w:name="_Hlk162518576"/>
            <w:r>
              <w:t xml:space="preserve">Advancing Family Economic Mobility is an </w:t>
            </w:r>
            <w:r w:rsidRPr="004B1E7F">
              <w:t xml:space="preserve">initiative </w:t>
            </w:r>
            <w:r>
              <w:t>led</w:t>
            </w:r>
            <w:r w:rsidRPr="004B1E7F">
              <w:t xml:space="preserve"> by the American Public Human Services Association (APHSA). As part of this</w:t>
            </w:r>
            <w:r>
              <w:t xml:space="preserve"> initiative, APHSA partnered with the W.K. Kellogg Foundation (WKKF) </w:t>
            </w:r>
            <w:r w:rsidRPr="00006B57">
              <w:t>to</w:t>
            </w:r>
            <w:r>
              <w:t xml:space="preserve"> </w:t>
            </w:r>
            <w:r w:rsidRPr="00D34DC5">
              <w:t xml:space="preserve">mobilize </w:t>
            </w:r>
            <w:r w:rsidRPr="006A24C2">
              <w:t>state leaders</w:t>
            </w:r>
            <w:r w:rsidRPr="00D34DC5">
              <w:t xml:space="preserve"> in human services to </w:t>
            </w:r>
            <w:r w:rsidRPr="00CD2F09">
              <w:t>improve economic mobility for</w:t>
            </w:r>
            <w:r w:rsidRPr="00D34DC5">
              <w:t xml:space="preserve"> children and families across Mississip</w:t>
            </w:r>
            <w:r>
              <w:t>pi, one of the poorest states in the country.</w:t>
            </w:r>
            <w:r>
              <w:rPr>
                <w:rStyle w:val="FootnoteReference"/>
              </w:rPr>
              <w:footnoteReference w:id="2"/>
            </w:r>
            <w:r w:rsidRPr="007B749C">
              <w:t xml:space="preserve"> </w:t>
            </w:r>
            <w:r>
              <w:t xml:space="preserve">In 2022, APHSA worked with the Mississippi Department of Human Services to establish the Mississippi Action Learning Network (MALN), a statewide peer-to-peer learning community for public and private leaders. </w:t>
            </w:r>
          </w:p>
          <w:bookmarkEnd w:id="0"/>
          <w:p w14:paraId="57948B6D" w14:textId="0FD2A702" w:rsidR="003C7BFF" w:rsidRPr="002267A4" w:rsidRDefault="00DE6FC4" w:rsidP="00BC0CE6">
            <w:pPr>
              <w:pStyle w:val="Introduction"/>
            </w:pPr>
            <w:r>
              <w:rPr>
                <w:szCs w:val="20"/>
              </w:rPr>
              <w:t>This brief describ</w:t>
            </w:r>
            <w:r w:rsidRPr="00CF3B82">
              <w:rPr>
                <w:szCs w:val="20"/>
              </w:rPr>
              <w:t>es the activities of the MALN</w:t>
            </w:r>
            <w:r>
              <w:rPr>
                <w:szCs w:val="20"/>
              </w:rPr>
              <w:t>,</w:t>
            </w:r>
            <w:r w:rsidRPr="00CF3B82">
              <w:rPr>
                <w:szCs w:val="20"/>
              </w:rPr>
              <w:t xml:space="preserve"> </w:t>
            </w:r>
            <w:r>
              <w:rPr>
                <w:szCs w:val="20"/>
              </w:rPr>
              <w:t xml:space="preserve">from May 2022 through December 2023. It includes takeaways related to: (1) </w:t>
            </w:r>
            <w:hyperlink w:anchor="plan" w:history="1">
              <w:r w:rsidRPr="00D700FC">
                <w:rPr>
                  <w:rStyle w:val="Hyperlink"/>
                  <w:szCs w:val="20"/>
                </w:rPr>
                <w:t>how the learning community’s facilitators planned and facilitated meetings</w:t>
              </w:r>
            </w:hyperlink>
            <w:r>
              <w:rPr>
                <w:szCs w:val="20"/>
              </w:rPr>
              <w:t xml:space="preserve">, (2) </w:t>
            </w:r>
            <w:hyperlink w:anchor="section3" w:history="1">
              <w:r w:rsidRPr="00D700FC">
                <w:rPr>
                  <w:rStyle w:val="Hyperlink"/>
                  <w:szCs w:val="20"/>
                </w:rPr>
                <w:t>meeting attendance</w:t>
              </w:r>
            </w:hyperlink>
            <w:r>
              <w:rPr>
                <w:szCs w:val="20"/>
              </w:rPr>
              <w:t xml:space="preserve">, (3) </w:t>
            </w:r>
            <w:hyperlink w:anchor="section4" w:history="1">
              <w:r w:rsidRPr="00D700FC">
                <w:rPr>
                  <w:rStyle w:val="Hyperlink"/>
                  <w:szCs w:val="20"/>
                </w:rPr>
                <w:t>how sharing and learning took place</w:t>
              </w:r>
            </w:hyperlink>
            <w:r>
              <w:rPr>
                <w:szCs w:val="20"/>
              </w:rPr>
              <w:t xml:space="preserve">, (4) </w:t>
            </w:r>
            <w:hyperlink w:anchor="section5" w:history="1">
              <w:r w:rsidRPr="00C03EB0">
                <w:rPr>
                  <w:rStyle w:val="Hyperlink"/>
                  <w:szCs w:val="20"/>
                </w:rPr>
                <w:t>what participants learned and examples of how they collaborated</w:t>
              </w:r>
            </w:hyperlink>
            <w:r>
              <w:rPr>
                <w:szCs w:val="20"/>
              </w:rPr>
              <w:t xml:space="preserve">, and (5) </w:t>
            </w:r>
            <w:hyperlink w:anchor="section6" w:history="1">
              <w:r w:rsidRPr="00C03EB0">
                <w:rPr>
                  <w:rStyle w:val="Hyperlink"/>
                  <w:szCs w:val="20"/>
                </w:rPr>
                <w:t>progress the MALN made toward its goals</w:t>
              </w:r>
            </w:hyperlink>
            <w:r>
              <w:rPr>
                <w:szCs w:val="20"/>
              </w:rPr>
              <w:t xml:space="preserve">. </w:t>
            </w:r>
            <w:r w:rsidRPr="00CF3B82">
              <w:rPr>
                <w:szCs w:val="20"/>
              </w:rPr>
              <w:t xml:space="preserve">Mathematica evaluated the MALN </w:t>
            </w:r>
            <w:r w:rsidRPr="00AE421D">
              <w:rPr>
                <w:szCs w:val="20"/>
              </w:rPr>
              <w:t>by observ</w:t>
            </w:r>
            <w:r>
              <w:rPr>
                <w:szCs w:val="20"/>
              </w:rPr>
              <w:t>ing its meetings</w:t>
            </w:r>
            <w:r w:rsidRPr="00AE421D">
              <w:rPr>
                <w:szCs w:val="20"/>
              </w:rPr>
              <w:t xml:space="preserve">, </w:t>
            </w:r>
            <w:r>
              <w:rPr>
                <w:szCs w:val="20"/>
              </w:rPr>
              <w:t xml:space="preserve">conducting </w:t>
            </w:r>
            <w:r w:rsidRPr="00AE421D">
              <w:rPr>
                <w:szCs w:val="20"/>
              </w:rPr>
              <w:t>focus groups</w:t>
            </w:r>
            <w:r>
              <w:rPr>
                <w:szCs w:val="20"/>
              </w:rPr>
              <w:t xml:space="preserve"> with the</w:t>
            </w:r>
            <w:r w:rsidRPr="00AE421D">
              <w:rPr>
                <w:szCs w:val="20"/>
              </w:rPr>
              <w:t xml:space="preserve"> </w:t>
            </w:r>
            <w:r>
              <w:rPr>
                <w:szCs w:val="20"/>
              </w:rPr>
              <w:t>facilitators, interviewing</w:t>
            </w:r>
            <w:r w:rsidRPr="00AE421D">
              <w:rPr>
                <w:szCs w:val="20"/>
              </w:rPr>
              <w:t xml:space="preserve"> selected</w:t>
            </w:r>
            <w:r>
              <w:rPr>
                <w:szCs w:val="20"/>
              </w:rPr>
              <w:t xml:space="preserve"> MALN members</w:t>
            </w:r>
            <w:r w:rsidRPr="00AE421D">
              <w:rPr>
                <w:szCs w:val="20"/>
              </w:rPr>
              <w:t xml:space="preserve">, and </w:t>
            </w:r>
            <w:r>
              <w:rPr>
                <w:szCs w:val="20"/>
              </w:rPr>
              <w:t xml:space="preserve">administering </w:t>
            </w:r>
            <w:r w:rsidRPr="00AE421D">
              <w:rPr>
                <w:szCs w:val="20"/>
              </w:rPr>
              <w:t>survey</w:t>
            </w:r>
            <w:r>
              <w:rPr>
                <w:szCs w:val="20"/>
              </w:rPr>
              <w:t>s</w:t>
            </w:r>
            <w:r w:rsidRPr="00AE421D">
              <w:rPr>
                <w:szCs w:val="20"/>
              </w:rPr>
              <w:t xml:space="preserve"> to</w:t>
            </w:r>
            <w:r>
              <w:rPr>
                <w:szCs w:val="20"/>
              </w:rPr>
              <w:t xml:space="preserve"> members</w:t>
            </w:r>
            <w:r w:rsidRPr="00AE421D">
              <w:rPr>
                <w:szCs w:val="20"/>
              </w:rPr>
              <w:t xml:space="preserve">. </w:t>
            </w:r>
            <w:r>
              <w:rPr>
                <w:szCs w:val="20"/>
              </w:rPr>
              <w:t>A section on</w:t>
            </w:r>
            <w:r w:rsidRPr="00AE421D">
              <w:rPr>
                <w:szCs w:val="20"/>
              </w:rPr>
              <w:t xml:space="preserve"> methodology</w:t>
            </w:r>
            <w:r>
              <w:rPr>
                <w:szCs w:val="20"/>
              </w:rPr>
              <w:t xml:space="preserve"> at the end of the brief has more information</w:t>
            </w:r>
            <w:r w:rsidRPr="00AE421D">
              <w:rPr>
                <w:szCs w:val="20"/>
              </w:rPr>
              <w:t>.</w:t>
            </w:r>
          </w:p>
        </w:tc>
      </w:tr>
    </w:tbl>
    <w:p w14:paraId="1A3FF25D" w14:textId="06F2C7FC" w:rsidR="00DE6FC4" w:rsidRPr="007B55A5" w:rsidRDefault="00DE6FC4" w:rsidP="00BC0CE6">
      <w:pPr>
        <w:pStyle w:val="H2"/>
      </w:pPr>
      <w:r w:rsidRPr="00427597">
        <w:t>Key takeaways</w:t>
      </w:r>
    </w:p>
    <w:p w14:paraId="22418685" w14:textId="77777777" w:rsidR="00DE6FC4" w:rsidRDefault="00DE6FC4" w:rsidP="00DE6FC4">
      <w:pPr>
        <w:pStyle w:val="ListBullet1"/>
      </w:pPr>
      <w:r>
        <w:t xml:space="preserve">Planning and facilitating meetings required the facilitators to establish trust with MALN members to develop a safe meeting culture. Facilitators also worked with members to develop a shared future state with a road map for how to get there. </w:t>
      </w:r>
      <w:hyperlink w:anchor="develop" w:history="1">
        <w:r w:rsidRPr="00E40F33">
          <w:rPr>
            <w:rStyle w:val="Hyperlink"/>
          </w:rPr>
          <w:t>See page 4 for more information.</w:t>
        </w:r>
      </w:hyperlink>
      <w:r>
        <w:t xml:space="preserve"> </w:t>
      </w:r>
    </w:p>
    <w:p w14:paraId="46D260A7" w14:textId="75D0B2C7" w:rsidR="00DE6FC4" w:rsidRDefault="00DE6FC4" w:rsidP="00DE6FC4">
      <w:pPr>
        <w:pStyle w:val="ListBullet1"/>
      </w:pPr>
      <w:r>
        <w:t xml:space="preserve">Twenty members from 11 agencies participated in the Mississippi Action Learning Network (MALN), and an average of six members from multiple agencies attended each meeting. Members of the MALN were motivated to attend meetings to build relationships with other leaders outside times of crisis, to align resources with other agencies, and to share and learn from each other to improve economic outcomes for Mississippians. </w:t>
      </w:r>
      <w:hyperlink w:anchor="motivate" w:history="1">
        <w:r w:rsidRPr="00E40F33">
          <w:rPr>
            <w:rStyle w:val="Hyperlink"/>
          </w:rPr>
          <w:t xml:space="preserve">See page </w:t>
        </w:r>
        <w:r w:rsidR="001A1672">
          <w:rPr>
            <w:rStyle w:val="Hyperlink"/>
          </w:rPr>
          <w:t>7</w:t>
        </w:r>
        <w:r w:rsidRPr="00E40F33">
          <w:rPr>
            <w:rStyle w:val="Hyperlink"/>
          </w:rPr>
          <w:t xml:space="preserve"> for more information.</w:t>
        </w:r>
      </w:hyperlink>
      <w:r>
        <w:t xml:space="preserve"> </w:t>
      </w:r>
    </w:p>
    <w:p w14:paraId="0FD2B353" w14:textId="77777777" w:rsidR="00DE6FC4" w:rsidRDefault="00DE6FC4" w:rsidP="00DE6FC4">
      <w:pPr>
        <w:pStyle w:val="ListBullet1"/>
      </w:pPr>
      <w:r>
        <w:t xml:space="preserve">MALN members reported that an open and honest meeting culture and meeting in person promoted sharing and learning with their peers. </w:t>
      </w:r>
      <w:hyperlink w:anchor="helped" w:history="1">
        <w:r w:rsidRPr="00E40F33">
          <w:rPr>
            <w:rStyle w:val="Hyperlink"/>
          </w:rPr>
          <w:t>See page 9 for more information.</w:t>
        </w:r>
      </w:hyperlink>
      <w:r>
        <w:t xml:space="preserve"> </w:t>
      </w:r>
    </w:p>
    <w:p w14:paraId="213623A9" w14:textId="77777777" w:rsidR="00DE6FC4" w:rsidRDefault="00DE6FC4" w:rsidP="00DE6FC4">
      <w:pPr>
        <w:pStyle w:val="ListBullet1"/>
      </w:pPr>
      <w:r>
        <w:t xml:space="preserve">By attending MALN meetings, members reported an increase in their understanding of best practices, innovations, and policy options to advance economic mobility, including learning more about the work of other agencies. </w:t>
      </w:r>
      <w:hyperlink w:anchor="learn" w:history="1">
        <w:r w:rsidRPr="0032166A">
          <w:rPr>
            <w:rStyle w:val="Hyperlink"/>
          </w:rPr>
          <w:t>See page 9 for more information.</w:t>
        </w:r>
      </w:hyperlink>
      <w:r>
        <w:t xml:space="preserve"> </w:t>
      </w:r>
    </w:p>
    <w:p w14:paraId="3502E030" w14:textId="77777777" w:rsidR="00DE6FC4" w:rsidRDefault="00DE6FC4" w:rsidP="00DE6FC4">
      <w:pPr>
        <w:pStyle w:val="ListBullet1"/>
      </w:pPr>
      <w:r>
        <w:lastRenderedPageBreak/>
        <w:t xml:space="preserve">Members reported making progress on the MALN roadmap, with the most progress in the generative leadership priority area. </w:t>
      </w:r>
      <w:r w:rsidRPr="003B58BE">
        <w:t>Five out of six survey respondents agreed or strongly agreed that participating in the MALN increased their agency’s collaboration with at least one other MALN agency outside of MALN meetings.</w:t>
      </w:r>
      <w:r>
        <w:t xml:space="preserve"> </w:t>
      </w:r>
      <w:hyperlink w:anchor="progress" w:history="1">
        <w:r w:rsidRPr="0032166A">
          <w:rPr>
            <w:rStyle w:val="Hyperlink"/>
          </w:rPr>
          <w:t>See page 11 for more information.</w:t>
        </w:r>
      </w:hyperlink>
      <w:r>
        <w:t xml:space="preserve"> </w:t>
      </w:r>
    </w:p>
    <w:p w14:paraId="4A5F6A74" w14:textId="21847DBD" w:rsidR="00DE6FC4" w:rsidRDefault="00E97A25" w:rsidP="006C35B8">
      <w:pPr>
        <w:pStyle w:val="H1"/>
      </w:pPr>
      <w:r>
        <w:t>I.</w:t>
      </w:r>
      <w:r>
        <w:tab/>
      </w:r>
      <w:r w:rsidR="00DE6FC4">
        <w:t>What is the Mississippi Action Learning Network?</w:t>
      </w:r>
    </w:p>
    <w:tbl>
      <w:tblPr>
        <w:tblStyle w:val="TanCell"/>
        <w:tblpPr w:leftFromText="288" w:rightFromText="288" w:topFromText="144" w:bottomFromText="144" w:vertAnchor="text" w:horzAnchor="margin" w:tblpXSpec="right" w:tblpY="222"/>
        <w:tblW w:w="4176" w:type="dxa"/>
        <w:jc w:val="right"/>
        <w:tblLook w:val="04A0" w:firstRow="1" w:lastRow="0" w:firstColumn="1" w:lastColumn="0" w:noHBand="0" w:noVBand="1"/>
      </w:tblPr>
      <w:tblGrid>
        <w:gridCol w:w="4176"/>
      </w:tblGrid>
      <w:tr w:rsidR="006C35B8" w14:paraId="0AFA5FF4" w14:textId="77777777" w:rsidTr="00E74C02">
        <w:trPr>
          <w:jc w:val="right"/>
        </w:trPr>
        <w:tc>
          <w:tcPr>
            <w:tcW w:w="5000" w:type="pct"/>
          </w:tcPr>
          <w:p w14:paraId="2139321B" w14:textId="77777777" w:rsidR="006C35B8" w:rsidRDefault="006C35B8" w:rsidP="00127E44">
            <w:pPr>
              <w:pStyle w:val="SidebarHead"/>
            </w:pPr>
            <w:r w:rsidRPr="00272CF5">
              <w:t>How did partners support the work?</w:t>
            </w:r>
          </w:p>
          <w:p w14:paraId="2A43ED7B" w14:textId="77777777" w:rsidR="006C35B8" w:rsidRPr="001E402A" w:rsidRDefault="006C35B8" w:rsidP="006C35B8">
            <w:pPr>
              <w:pStyle w:val="Sidebar"/>
            </w:pPr>
            <w:r w:rsidRPr="00272CF5">
              <w:t xml:space="preserve">The W.K. Kellogg Foundation </w:t>
            </w:r>
            <w:r>
              <w:t>(WKKF) funded the role of the APHSA facilitators, including the cost of their travel to Mississippi and supports to facilitate meetings.</w:t>
            </w:r>
          </w:p>
        </w:tc>
      </w:tr>
    </w:tbl>
    <w:p w14:paraId="27DB339B" w14:textId="77777777" w:rsidR="00DE6FC4" w:rsidRDefault="00DE6FC4" w:rsidP="006C35B8">
      <w:pPr>
        <w:pStyle w:val="ParagraphContinued"/>
      </w:pPr>
      <w:r w:rsidRPr="007E48B6">
        <w:t xml:space="preserve">Facilitated by two </w:t>
      </w:r>
      <w:r w:rsidRPr="00710F9F">
        <w:t>American Public Human Services Association (</w:t>
      </w:r>
      <w:r w:rsidRPr="007E48B6">
        <w:t>APHSA</w:t>
      </w:r>
      <w:r>
        <w:t>)</w:t>
      </w:r>
      <w:r w:rsidRPr="007E48B6">
        <w:t xml:space="preserve"> staff, the </w:t>
      </w:r>
      <w:r>
        <w:t xml:space="preserve">MALN </w:t>
      </w:r>
      <w:r w:rsidRPr="007E48B6">
        <w:t xml:space="preserve">is a statewide peer-to-peer partnership where </w:t>
      </w:r>
      <w:r>
        <w:t>Mississippi</w:t>
      </w:r>
      <w:r w:rsidRPr="007E48B6">
        <w:t xml:space="preserve"> state leaders share and learn best practices, innovations, and solutions </w:t>
      </w:r>
      <w:r>
        <w:t>for</w:t>
      </w:r>
      <w:r w:rsidRPr="007E48B6">
        <w:t xml:space="preserve"> </w:t>
      </w:r>
      <w:r>
        <w:t xml:space="preserve">improving </w:t>
      </w:r>
      <w:r w:rsidRPr="007E48B6">
        <w:t xml:space="preserve">economic mobility. The purpose of this learning </w:t>
      </w:r>
      <w:r>
        <w:t>network</w:t>
      </w:r>
      <w:r w:rsidRPr="007E48B6">
        <w:t xml:space="preserve"> is to bring together </w:t>
      </w:r>
      <w:r>
        <w:t>public and private</w:t>
      </w:r>
      <w:r w:rsidRPr="007E48B6">
        <w:t xml:space="preserve"> leaders for cross-</w:t>
      </w:r>
      <w:r>
        <w:t>agency</w:t>
      </w:r>
      <w:r w:rsidRPr="007E48B6">
        <w:t xml:space="preserve"> peer learning to advance economic mobility for families in Mississippi. </w:t>
      </w:r>
      <w:r>
        <w:t xml:space="preserve">The </w:t>
      </w:r>
      <w:proofErr w:type="gramStart"/>
      <w:r>
        <w:t>ultimate goal</w:t>
      </w:r>
      <w:proofErr w:type="gramEnd"/>
      <w:r>
        <w:t xml:space="preserve"> is </w:t>
      </w:r>
      <w:r w:rsidRPr="008474AE">
        <w:t>to</w:t>
      </w:r>
      <w:r w:rsidRPr="00504B17">
        <w:t xml:space="preserve"> advance family economic mobility for all Mississippians by aligning public and private leaders’ values and priorities to equitably change the human services system.</w:t>
      </w:r>
      <w:r>
        <w:t xml:space="preserve"> </w:t>
      </w:r>
      <w:r w:rsidRPr="007E48B6">
        <w:t xml:space="preserve">Key </w:t>
      </w:r>
      <w:r>
        <w:t xml:space="preserve">planned </w:t>
      </w:r>
      <w:r w:rsidRPr="007E48B6">
        <w:t xml:space="preserve">activities of the learning community </w:t>
      </w:r>
      <w:r w:rsidRPr="000C20FD">
        <w:t>include</w:t>
      </w:r>
      <w:r>
        <w:t xml:space="preserve"> </w:t>
      </w:r>
      <w:r w:rsidRPr="007E48B6">
        <w:t xml:space="preserve">(1) </w:t>
      </w:r>
      <w:r>
        <w:t>facilitators</w:t>
      </w:r>
      <w:r w:rsidRPr="007E48B6">
        <w:t xml:space="preserve"> plan and facilitate meetings</w:t>
      </w:r>
      <w:r>
        <w:t>;</w:t>
      </w:r>
      <w:r w:rsidRPr="007E48B6">
        <w:t xml:space="preserve"> (2) </w:t>
      </w:r>
      <w:r>
        <w:t>members</w:t>
      </w:r>
      <w:r w:rsidRPr="007E48B6">
        <w:t xml:space="preserve"> attend and share best practices, innovations, and solutions with each other</w:t>
      </w:r>
      <w:r>
        <w:t>;</w:t>
      </w:r>
      <w:r w:rsidRPr="007E48B6">
        <w:t xml:space="preserve"> and (3) </w:t>
      </w:r>
      <w:r>
        <w:t>facilitators</w:t>
      </w:r>
      <w:r w:rsidRPr="007E48B6">
        <w:t xml:space="preserve"> </w:t>
      </w:r>
      <w:r>
        <w:t xml:space="preserve">share resources and guide development of a </w:t>
      </w:r>
      <w:r w:rsidRPr="00D91F29">
        <w:t>road</w:t>
      </w:r>
      <w:r>
        <w:t xml:space="preserve"> </w:t>
      </w:r>
      <w:r w:rsidRPr="00D91F29">
        <w:t>map</w:t>
      </w:r>
      <w:r>
        <w:t xml:space="preserve">, that describes planned MALN member activities. </w:t>
      </w:r>
      <w:r w:rsidRPr="007E48B6">
        <w:t xml:space="preserve">As described in </w:t>
      </w:r>
      <w:r>
        <w:t>Figure 1</w:t>
      </w:r>
      <w:r w:rsidRPr="007E48B6">
        <w:t xml:space="preserve">, </w:t>
      </w:r>
      <w:r>
        <w:t>the facilitators believe that by engaging in these activities, public-private leaders in Mississippi—from human service agencies, workforce agencies, businesses, nonprofits, philanthropic organizations, families, and federal partners—will make changes to improve economic mobility for Mississippians.</w:t>
      </w:r>
    </w:p>
    <w:tbl>
      <w:tblPr>
        <w:tblStyle w:val="GrayCell"/>
        <w:tblpPr w:leftFromText="187" w:rightFromText="187" w:topFromText="144" w:bottomFromText="144" w:vertAnchor="text" w:horzAnchor="margin" w:tblpY="15"/>
        <w:tblW w:w="9360" w:type="dxa"/>
        <w:tblCellMar>
          <w:left w:w="0" w:type="dxa"/>
          <w:right w:w="0" w:type="dxa"/>
        </w:tblCellMar>
        <w:tblLook w:val="04A0" w:firstRow="1" w:lastRow="0" w:firstColumn="1" w:lastColumn="0" w:noHBand="0" w:noVBand="1"/>
      </w:tblPr>
      <w:tblGrid>
        <w:gridCol w:w="9360"/>
      </w:tblGrid>
      <w:tr w:rsidR="006C35B8" w14:paraId="284E8548" w14:textId="77777777" w:rsidTr="00D83DF9">
        <w:tc>
          <w:tcPr>
            <w:tcW w:w="5000" w:type="pct"/>
            <w:shd w:val="clear" w:color="auto" w:fill="auto"/>
          </w:tcPr>
          <w:p w14:paraId="25FA29CB" w14:textId="77777777" w:rsidR="006C35B8" w:rsidRPr="006C35B8" w:rsidRDefault="006C35B8" w:rsidP="006C35B8">
            <w:pPr>
              <w:pStyle w:val="FigureTitle"/>
            </w:pPr>
            <w:r w:rsidRPr="006C35B8">
              <w:rPr>
                <w:b/>
                <w:bCs/>
              </w:rPr>
              <w:t xml:space="preserve">Figure 1. </w:t>
            </w:r>
            <w:r w:rsidRPr="006C35B8">
              <w:t>Theory of change</w:t>
            </w:r>
          </w:p>
          <w:p w14:paraId="7D1C416E" w14:textId="1065800A" w:rsidR="006C35B8" w:rsidRPr="006C35B8" w:rsidRDefault="00EC3221" w:rsidP="005C768A">
            <w:pPr>
              <w:pStyle w:val="ExhibitSource"/>
              <w:jc w:val="center"/>
            </w:pPr>
            <w:r>
              <w:rPr>
                <w:noProof/>
              </w:rPr>
              <w:drawing>
                <wp:inline distT="0" distB="0" distL="0" distR="0" wp14:anchorId="20EDB476" wp14:editId="1B5AB33E">
                  <wp:extent cx="4663440" cy="3209544"/>
                  <wp:effectExtent l="0" t="0" r="381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4663440" cy="3209544"/>
                          </a:xfrm>
                          <a:prstGeom prst="rect">
                            <a:avLst/>
                          </a:prstGeom>
                        </pic:spPr>
                      </pic:pic>
                    </a:graphicData>
                  </a:graphic>
                </wp:inline>
              </w:drawing>
            </w:r>
          </w:p>
          <w:p w14:paraId="56C6EBBD" w14:textId="21131CF7" w:rsidR="006C35B8" w:rsidRPr="006C35B8" w:rsidRDefault="006C35B8" w:rsidP="006C35B8">
            <w:pPr>
              <w:pStyle w:val="ExhibitSource"/>
            </w:pPr>
            <w:r w:rsidRPr="006C35B8">
              <w:t xml:space="preserve">Note: </w:t>
            </w:r>
            <w:r>
              <w:tab/>
            </w:r>
            <w:r w:rsidRPr="006C35B8">
              <w:t>The MALN facilitators define</w:t>
            </w:r>
            <w:r w:rsidR="00843608">
              <w:t>d</w:t>
            </w:r>
            <w:r w:rsidRPr="006C35B8">
              <w:t xml:space="preserve"> generative leadership as, “leaders who enrich the human experience by building great cultures, organizations, and systems. Generative leaders value a sense of belonging and purpose that is bigger than themselves.”</w:t>
            </w:r>
          </w:p>
        </w:tc>
      </w:tr>
    </w:tbl>
    <w:p w14:paraId="22D446C8" w14:textId="71CEE19F" w:rsidR="00DE6FC4" w:rsidRPr="007E48B6" w:rsidRDefault="00DE6FC4" w:rsidP="00E97A25">
      <w:pPr>
        <w:pStyle w:val="H2"/>
      </w:pPr>
      <w:r w:rsidRPr="007E48B6">
        <w:lastRenderedPageBreak/>
        <w:t>How was the MALN started?</w:t>
      </w:r>
    </w:p>
    <w:p w14:paraId="44AC3B66" w14:textId="77777777" w:rsidR="00DE6FC4" w:rsidRDefault="00DE6FC4" w:rsidP="003C062D">
      <w:pPr>
        <w:pStyle w:val="ParagraphContinued"/>
      </w:pPr>
      <w:bookmarkStart w:id="1" w:name="_Hlk162518582"/>
      <w:r>
        <w:t>In 2019, staff from the WKKF and APHSA conducted a one-year planning period in partnership with</w:t>
      </w:r>
      <w:r w:rsidRPr="00725B29">
        <w:t xml:space="preserve"> </w:t>
      </w:r>
      <w:r>
        <w:t xml:space="preserve">the Mississippi Department of Human </w:t>
      </w:r>
      <w:r w:rsidRPr="00725B29">
        <w:t>Services (MDHS) to</w:t>
      </w:r>
      <w:r>
        <w:t xml:space="preserve"> better understand how state and local agencies worked together to support Mississippi families, including the successes and challenges they faced. </w:t>
      </w:r>
      <w:r w:rsidRPr="00C94E5D">
        <w:t xml:space="preserve">APHSA also </w:t>
      </w:r>
      <w:r>
        <w:t>explored issues of</w:t>
      </w:r>
      <w:r w:rsidRPr="00F06366">
        <w:t xml:space="preserve"> trust </w:t>
      </w:r>
      <w:r>
        <w:t xml:space="preserve">within and outside of MDHS, </w:t>
      </w:r>
      <w:r w:rsidRPr="00F06366">
        <w:t xml:space="preserve">following </w:t>
      </w:r>
      <w:r>
        <w:t>the agency’s</w:t>
      </w:r>
      <w:r w:rsidRPr="00F06366">
        <w:t xml:space="preserve"> misappropriation of </w:t>
      </w:r>
      <w:r>
        <w:t>Temporary Assistance for Needy Families (TANF)</w:t>
      </w:r>
      <w:r w:rsidRPr="00F06366">
        <w:t xml:space="preserve"> funds</w:t>
      </w:r>
      <w:r>
        <w:t xml:space="preserve"> in previous years</w:t>
      </w:r>
      <w:r w:rsidRPr="00F06366">
        <w:t>.</w:t>
      </w:r>
      <w:r>
        <w:t xml:space="preserve"> </w:t>
      </w:r>
    </w:p>
    <w:p w14:paraId="1E6FA29B" w14:textId="46FE982D" w:rsidR="00DE6FC4" w:rsidRDefault="00DE6FC4" w:rsidP="003C062D">
      <w:pPr>
        <w:pStyle w:val="Paragraph"/>
      </w:pPr>
      <w:r>
        <w:t xml:space="preserve">During the planning period, APHSA and WKKF staff conducted interviews, focus groups, and surveys with various state, local, and community agencies, including MDHS service recipients. Based on their </w:t>
      </w:r>
      <w:r w:rsidRPr="00725B29">
        <w:t xml:space="preserve">finding that </w:t>
      </w:r>
      <w:r w:rsidRPr="00710F9F">
        <w:t xml:space="preserve">the state needed to </w:t>
      </w:r>
      <w:r w:rsidRPr="00725B29">
        <w:t xml:space="preserve">better </w:t>
      </w:r>
      <w:r w:rsidRPr="00710F9F">
        <w:t xml:space="preserve">align its </w:t>
      </w:r>
      <w:r w:rsidRPr="00725B29">
        <w:t xml:space="preserve">systems, APHSA and MDHS established the MALN, which </w:t>
      </w:r>
      <w:r>
        <w:t xml:space="preserve">held its first meeting </w:t>
      </w:r>
      <w:r w:rsidRPr="009A37C8">
        <w:t>in May 2022.</w:t>
      </w:r>
    </w:p>
    <w:tbl>
      <w:tblPr>
        <w:tblStyle w:val="TanCell"/>
        <w:tblpPr w:leftFromText="187" w:rightFromText="187" w:topFromText="144" w:bottomFromText="144" w:vertAnchor="text" w:horzAnchor="margin" w:tblpY="15"/>
        <w:tblW w:w="9360" w:type="dxa"/>
        <w:tblLook w:val="04A0" w:firstRow="1" w:lastRow="0" w:firstColumn="1" w:lastColumn="0" w:noHBand="0" w:noVBand="1"/>
      </w:tblPr>
      <w:tblGrid>
        <w:gridCol w:w="9360"/>
      </w:tblGrid>
      <w:tr w:rsidR="003C062D" w:rsidRPr="003C062D" w14:paraId="1EB36163" w14:textId="77777777" w:rsidTr="0002433C">
        <w:tc>
          <w:tcPr>
            <w:tcW w:w="5000" w:type="pct"/>
          </w:tcPr>
          <w:p w14:paraId="124E720E" w14:textId="77777777" w:rsidR="003C062D" w:rsidRPr="003C062D" w:rsidRDefault="003C062D" w:rsidP="003C062D">
            <w:pPr>
              <w:pStyle w:val="SidebarHead"/>
            </w:pPr>
            <w:r w:rsidRPr="003C062D">
              <w:t xml:space="preserve">Changing the human services system in Mississippi </w:t>
            </w:r>
          </w:p>
          <w:p w14:paraId="667A2D0B" w14:textId="77777777" w:rsidR="003C062D" w:rsidRPr="003C062D" w:rsidRDefault="003C062D" w:rsidP="003C062D">
            <w:pPr>
              <w:pStyle w:val="Sidebar"/>
            </w:pPr>
            <w:r w:rsidRPr="003C062D">
              <w:t xml:space="preserve">The MALN aims to advance family economic mobility in Mississippi by changing the human services system in their state. To assess the MALN’s readiness for systems change, Mathematica distributed a survey to members one year into the initiative. The survey was meant to assess the partnership’s strengths and areas for improvement related to factors likely to help a partnership achieve systems change. </w:t>
            </w:r>
          </w:p>
          <w:p w14:paraId="781EF468" w14:textId="77777777" w:rsidR="003C062D" w:rsidRPr="003C062D" w:rsidRDefault="003C062D" w:rsidP="003C062D">
            <w:pPr>
              <w:pStyle w:val="Sidebar"/>
            </w:pPr>
            <w:r w:rsidRPr="003C062D">
              <w:t>The assessment was designed for partnerships that have been active for many years. Because the MALN is a new initiative, the survey helped members identify areas to focus on in the future. The survey results showed that the MALN is making progress in several areas.</w:t>
            </w:r>
          </w:p>
          <w:p w14:paraId="56932BD2" w14:textId="77777777" w:rsidR="003C062D" w:rsidRPr="003C062D" w:rsidRDefault="003C062D" w:rsidP="003C062D">
            <w:pPr>
              <w:pStyle w:val="Sidebar"/>
            </w:pPr>
            <w:r w:rsidRPr="003C062D">
              <w:rPr>
                <w:b/>
                <w:bCs/>
              </w:rPr>
              <w:t xml:space="preserve">What is systems change? </w:t>
            </w:r>
            <w:r w:rsidRPr="003C062D">
              <w:t>Systems change initiatives aim to shift the conditions that hold a problem in place by changing policies, practices, resource flows, relationships and connections, power dynamics, and mental models (deeply held beliefs and thoughts).</w:t>
            </w:r>
            <w:r w:rsidRPr="00F97983">
              <w:rPr>
                <w:rStyle w:val="FootnoteReference"/>
              </w:rPr>
              <w:footnoteReference w:id="3"/>
            </w:r>
          </w:p>
          <w:p w14:paraId="670502CF" w14:textId="77777777" w:rsidR="003C062D" w:rsidRPr="003C062D" w:rsidRDefault="003C062D" w:rsidP="003C062D">
            <w:pPr>
              <w:pStyle w:val="Sidebar"/>
              <w:rPr>
                <w:b/>
                <w:bCs/>
              </w:rPr>
            </w:pPr>
            <w:r w:rsidRPr="003C062D">
              <w:rPr>
                <w:b/>
                <w:bCs/>
              </w:rPr>
              <w:t>Three out of four survey respondents reported that the MALN had many strengths, including the following:</w:t>
            </w:r>
          </w:p>
          <w:p w14:paraId="4649B224" w14:textId="77777777" w:rsidR="003C062D" w:rsidRPr="003C062D" w:rsidRDefault="003C062D" w:rsidP="003C062D">
            <w:pPr>
              <w:pStyle w:val="SidebarListBullet"/>
              <w:framePr w:hSpace="0" w:wrap="auto" w:vAnchor="margin" w:yAlign="inline"/>
              <w:suppressOverlap w:val="0"/>
            </w:pPr>
            <w:r w:rsidRPr="003C062D">
              <w:t>Creating a vision statement identifying what the partnership seeks to achieve</w:t>
            </w:r>
          </w:p>
          <w:p w14:paraId="1443DAFC" w14:textId="77777777" w:rsidR="003C062D" w:rsidRPr="003C062D" w:rsidRDefault="003C062D" w:rsidP="003C062D">
            <w:pPr>
              <w:pStyle w:val="SidebarListBullet"/>
              <w:framePr w:hSpace="0" w:wrap="auto" w:vAnchor="margin" w:yAlign="inline"/>
              <w:suppressOverlap w:val="0"/>
            </w:pPr>
            <w:r w:rsidRPr="003C062D">
              <w:t>Trusting and holding each other accountable in implementing activities as planned</w:t>
            </w:r>
          </w:p>
          <w:p w14:paraId="0A34A91A" w14:textId="77777777" w:rsidR="003C062D" w:rsidRPr="003C062D" w:rsidRDefault="003C062D" w:rsidP="003C062D">
            <w:pPr>
              <w:pStyle w:val="SidebarListBullet"/>
              <w:framePr w:hSpace="0" w:wrap="auto" w:vAnchor="margin" w:yAlign="inline"/>
              <w:suppressOverlap w:val="0"/>
            </w:pPr>
            <w:r w:rsidRPr="003C062D">
              <w:t xml:space="preserve">Developing structures and processes that facilitate active and genuine partner engagement </w:t>
            </w:r>
          </w:p>
          <w:p w14:paraId="2147FCB9" w14:textId="77777777" w:rsidR="003C062D" w:rsidRPr="003C062D" w:rsidRDefault="003C062D" w:rsidP="003C062D">
            <w:pPr>
              <w:pStyle w:val="SidebarListBullet"/>
              <w:framePr w:hSpace="0" w:wrap="auto" w:vAnchor="margin" w:yAlign="inline"/>
              <w:suppressOverlap w:val="0"/>
            </w:pPr>
            <w:r w:rsidRPr="003C062D">
              <w:t>Investing, building, and maintaining the capacity of its partners</w:t>
            </w:r>
          </w:p>
          <w:p w14:paraId="61B71A79" w14:textId="77777777" w:rsidR="003C062D" w:rsidRPr="003C062D" w:rsidRDefault="003C062D" w:rsidP="003C062D">
            <w:pPr>
              <w:pStyle w:val="SidebarListBullet"/>
              <w:framePr w:hSpace="0" w:wrap="auto" w:vAnchor="margin" w:yAlign="inline"/>
              <w:suppressOverlap w:val="0"/>
            </w:pPr>
            <w:r w:rsidRPr="003C062D">
              <w:t>Promoting and supporting positive and culturally responsive learning environments</w:t>
            </w:r>
          </w:p>
          <w:p w14:paraId="487F88EB" w14:textId="77777777" w:rsidR="003C062D" w:rsidRPr="003C062D" w:rsidRDefault="003C062D" w:rsidP="003C062D">
            <w:pPr>
              <w:pStyle w:val="Sidebar"/>
              <w:rPr>
                <w:b/>
                <w:bCs/>
              </w:rPr>
            </w:pPr>
            <w:r w:rsidRPr="003C062D">
              <w:rPr>
                <w:b/>
                <w:bCs/>
              </w:rPr>
              <w:t>Three out of four survey respondents reported that the MALN had room to grow in the following areas:</w:t>
            </w:r>
          </w:p>
          <w:p w14:paraId="5FB48DF7" w14:textId="77777777" w:rsidR="003C062D" w:rsidRPr="003C062D" w:rsidRDefault="003C062D" w:rsidP="003C062D">
            <w:pPr>
              <w:pStyle w:val="SidebarListBullet"/>
              <w:framePr w:hSpace="0" w:wrap="auto" w:vAnchor="margin" w:yAlign="inline"/>
              <w:suppressOverlap w:val="0"/>
            </w:pPr>
            <w:r w:rsidRPr="003C062D">
              <w:t>Having a concrete and comprehensive strategic plan to improve outcomes for Mississippians</w:t>
            </w:r>
          </w:p>
          <w:p w14:paraId="2CB71A78" w14:textId="77777777" w:rsidR="003C062D" w:rsidRPr="003C062D" w:rsidRDefault="003C062D" w:rsidP="003C062D">
            <w:pPr>
              <w:pStyle w:val="SidebarListBullet"/>
              <w:framePr w:hSpace="0" w:wrap="auto" w:vAnchor="margin" w:yAlign="inline"/>
              <w:suppressOverlap w:val="0"/>
            </w:pPr>
            <w:r w:rsidRPr="003C062D">
              <w:t>Involving Mississippians most directly impacted by the work in MALN decisions and plans</w:t>
            </w:r>
          </w:p>
          <w:p w14:paraId="077F29FD" w14:textId="77777777" w:rsidR="003C062D" w:rsidRPr="003C062D" w:rsidRDefault="003C062D" w:rsidP="003C062D">
            <w:pPr>
              <w:pStyle w:val="SidebarListBullet"/>
              <w:framePr w:hSpace="0" w:wrap="auto" w:vAnchor="margin" w:yAlign="inline"/>
              <w:suppressOverlap w:val="0"/>
            </w:pPr>
            <w:r w:rsidRPr="003C062D">
              <w:t>Advancing a strengths-based narrative about Mississippians to shift mindsets in the community</w:t>
            </w:r>
          </w:p>
          <w:p w14:paraId="22EAA472" w14:textId="347A91D2" w:rsidR="003C062D" w:rsidRPr="003C062D" w:rsidRDefault="003C062D" w:rsidP="003C062D">
            <w:pPr>
              <w:pStyle w:val="SidebarListBullet"/>
              <w:framePr w:hSpace="0" w:wrap="auto" w:vAnchor="margin" w:yAlign="inline"/>
              <w:suppressOverlap w:val="0"/>
            </w:pPr>
            <w:r w:rsidRPr="003C062D">
              <w:t>Establishing norms and cohesive systems for data collection and reporting across partner agencies</w:t>
            </w:r>
          </w:p>
        </w:tc>
      </w:tr>
    </w:tbl>
    <w:p w14:paraId="3B32E57B" w14:textId="349C2D02" w:rsidR="00DE6FC4" w:rsidRPr="004428C9" w:rsidRDefault="00E97A25" w:rsidP="00C218DF">
      <w:pPr>
        <w:pStyle w:val="H1"/>
      </w:pPr>
      <w:bookmarkStart w:id="2" w:name="plan"/>
      <w:bookmarkStart w:id="3" w:name="_Hlk162939169"/>
      <w:bookmarkEnd w:id="1"/>
      <w:bookmarkEnd w:id="2"/>
      <w:r>
        <w:lastRenderedPageBreak/>
        <w:t>II.</w:t>
      </w:r>
      <w:r>
        <w:tab/>
      </w:r>
      <w:r w:rsidR="00DE6FC4" w:rsidRPr="004428C9">
        <w:t>How did facilitators plan and facilitate meetings?</w:t>
      </w:r>
    </w:p>
    <w:p w14:paraId="2A9A6D3C" w14:textId="418E70C1" w:rsidR="00DE6FC4" w:rsidRDefault="00DE6FC4" w:rsidP="00C218DF">
      <w:pPr>
        <w:pStyle w:val="ParagraphContinued"/>
        <w:keepNext/>
        <w:keepLines/>
      </w:pPr>
      <w:r>
        <w:t xml:space="preserve">APHSA facilitators planned and facilitated eight in-person MALN </w:t>
      </w:r>
      <w:r w:rsidRPr="006E2651">
        <w:t>meetings, not including initial smaller group meetings, at MDHS during a 15</w:t>
      </w:r>
      <w:r w:rsidRPr="00314F75">
        <w:t xml:space="preserve">-month period from September 2022 to </w:t>
      </w:r>
      <w:r>
        <w:t>December</w:t>
      </w:r>
      <w:r w:rsidRPr="00314F75">
        <w:t xml:space="preserve"> 202</w:t>
      </w:r>
      <w:r>
        <w:t>3. They</w:t>
      </w:r>
      <w:r w:rsidRPr="002C35DB">
        <w:t xml:space="preserve"> </w:t>
      </w:r>
      <w:r>
        <w:t>utilized the</w:t>
      </w:r>
      <w:r w:rsidRPr="002C35DB">
        <w:t xml:space="preserve"> </w:t>
      </w:r>
      <w:r>
        <w:t>Design, Assess, Plan, Implement, and Monitor (DAPIM</w:t>
      </w:r>
      <w:r>
        <w:rPr>
          <w:rFonts w:cstheme="minorHAnsi"/>
        </w:rPr>
        <w:t>™</w:t>
      </w:r>
      <w:r>
        <w:t xml:space="preserve">) framework—a continuous quality improvement process—to inform their work. </w:t>
      </w:r>
    </w:p>
    <w:p w14:paraId="015D7091" w14:textId="10886193" w:rsidR="00DE6FC4" w:rsidRDefault="00C218DF" w:rsidP="003C062D">
      <w:pPr>
        <w:pStyle w:val="Paragraph"/>
      </w:pPr>
      <w:r w:rsidRPr="00BC3AF4">
        <w:rPr>
          <w:rStyle w:val="RunIn"/>
          <w:noProof/>
        </w:rPr>
        <mc:AlternateContent>
          <mc:Choice Requires="wps">
            <w:drawing>
              <wp:anchor distT="0" distB="0" distL="114300" distR="114300" simplePos="0" relativeHeight="251691008" behindDoc="0" locked="0" layoutInCell="1" allowOverlap="1" wp14:anchorId="07CDB81C" wp14:editId="4FF2D6E5">
                <wp:simplePos x="0" y="0"/>
                <wp:positionH relativeFrom="margin">
                  <wp:posOffset>3067050</wp:posOffset>
                </wp:positionH>
                <wp:positionV relativeFrom="paragraph">
                  <wp:posOffset>44450</wp:posOffset>
                </wp:positionV>
                <wp:extent cx="2861945" cy="1600200"/>
                <wp:effectExtent l="0" t="0" r="14605" b="0"/>
                <wp:wrapSquare wrapText="bothSides"/>
                <wp:docPr id="37" name="Text Box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61945" cy="1600200"/>
                        </a:xfrm>
                        <a:prstGeom prst="rect">
                          <a:avLst/>
                        </a:prstGeom>
                        <a:noFill/>
                        <a:ln w="6350">
                          <a:noFill/>
                        </a:ln>
                      </wps:spPr>
                      <wps:txbx>
                        <w:txbxContent>
                          <w:p w14:paraId="3ACF75B9" w14:textId="77777777" w:rsidR="00BC3AF4" w:rsidRDefault="00BC3AF4" w:rsidP="00283A2E">
                            <w:pPr>
                              <w:pStyle w:val="NoSpacing"/>
                            </w:pPr>
                            <w:r>
                              <w:rPr>
                                <w:noProof/>
                              </w:rPr>
                              <w:drawing>
                                <wp:inline distT="0" distB="0" distL="0" distR="0" wp14:anchorId="7ED8C10F" wp14:editId="5C7345DF">
                                  <wp:extent cx="1033272" cy="82296"/>
                                  <wp:effectExtent l="0" t="0" r="0" b="0"/>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33272" cy="82296"/>
                                          </a:xfrm>
                                          <a:prstGeom prst="rect">
                                            <a:avLst/>
                                          </a:prstGeom>
                                        </pic:spPr>
                                      </pic:pic>
                                    </a:graphicData>
                                  </a:graphic>
                                </wp:inline>
                              </w:drawing>
                            </w:r>
                          </w:p>
                          <w:p w14:paraId="43E40B6E" w14:textId="0038B552" w:rsidR="00BC3AF4" w:rsidRDefault="00BC3AF4" w:rsidP="00894FE4">
                            <w:pPr>
                              <w:pStyle w:val="Quote"/>
                            </w:pPr>
                            <w:r>
                              <w:t xml:space="preserve">“[Facilitators have] been </w:t>
                            </w:r>
                            <w:proofErr w:type="gramStart"/>
                            <w:r>
                              <w:t>really good</w:t>
                            </w:r>
                            <w:proofErr w:type="gramEnd"/>
                            <w:r>
                              <w:t xml:space="preserve"> about sharing the notes from the last meeting and where we are, providing us with research from other states and best practices. And sharing that ahead of time helps drive the talking points.”</w:t>
                            </w:r>
                          </w:p>
                          <w:p w14:paraId="1E9750E8" w14:textId="21901A31" w:rsidR="00BC3AF4" w:rsidRPr="00CB4AFF" w:rsidRDefault="00BC3AF4" w:rsidP="00894FE4">
                            <w:pPr>
                              <w:pStyle w:val="QuoteAttribution"/>
                            </w:pPr>
                            <w:r>
                              <w:t>— MALN member</w:t>
                            </w:r>
                          </w:p>
                          <w:p w14:paraId="2E0794DF" w14:textId="77777777" w:rsidR="00BC3AF4" w:rsidRPr="000B4AAE" w:rsidRDefault="00BC3AF4" w:rsidP="00283A2E">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DB81C" id="_x0000_t202" coordsize="21600,21600" o:spt="202" path="m,l,21600r21600,l21600,xe">
                <v:stroke joinstyle="miter"/>
                <v:path gradientshapeok="t" o:connecttype="rect"/>
              </v:shapetype>
              <v:shape id="Text Box 37" o:spid="_x0000_s1026" type="#_x0000_t202" alt="&quot;&quot;" style="position:absolute;margin-left:241.5pt;margin-top:3.5pt;width:225.35pt;height:12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" filled="f" stroked="f" strokeweight=".5pt">
                <v:textbox inset="0,0,0,0">
                  <w:txbxContent>
                    <w:p w14:paraId="3ACF75B9" w14:textId="77777777" w:rsidR="00BC3AF4" w:rsidRDefault="00BC3AF4" w:rsidP="00283A2E">
                      <w:pPr>
                        <w:pStyle w:val="NoSpacing"/>
                      </w:pPr>
                      <w:r>
                        <w:rPr>
                          <w:noProof/>
                        </w:rPr>
                        <w:drawing>
                          <wp:inline distT="0" distB="0" distL="0" distR="0" wp14:anchorId="7ED8C10F" wp14:editId="5C7345DF">
                            <wp:extent cx="1033272" cy="82296"/>
                            <wp:effectExtent l="0" t="0" r="0" b="0"/>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33272" cy="82296"/>
                                    </a:xfrm>
                                    <a:prstGeom prst="rect">
                                      <a:avLst/>
                                    </a:prstGeom>
                                  </pic:spPr>
                                </pic:pic>
                              </a:graphicData>
                            </a:graphic>
                          </wp:inline>
                        </w:drawing>
                      </w:r>
                    </w:p>
                    <w:p w14:paraId="43E40B6E" w14:textId="0038B552" w:rsidR="00BC3AF4" w:rsidRDefault="00BC3AF4" w:rsidP="00894FE4">
                      <w:pPr>
                        <w:pStyle w:val="Quote"/>
                      </w:pPr>
                      <w:r>
                        <w:t xml:space="preserve">“[Facilitators have] been </w:t>
                      </w:r>
                      <w:proofErr w:type="gramStart"/>
                      <w:r>
                        <w:t>really good</w:t>
                      </w:r>
                      <w:proofErr w:type="gramEnd"/>
                      <w:r>
                        <w:t xml:space="preserve"> about sharing the notes from the last meeting and where we are, providing us with research from other states and best practices. And sharing that ahead of time helps drive the talking points.”</w:t>
                      </w:r>
                    </w:p>
                    <w:p w14:paraId="1E9750E8" w14:textId="21901A31" w:rsidR="00BC3AF4" w:rsidRPr="00CB4AFF" w:rsidRDefault="00BC3AF4" w:rsidP="00894FE4">
                      <w:pPr>
                        <w:pStyle w:val="QuoteAttribution"/>
                      </w:pPr>
                      <w:r>
                        <w:t>— MALN member</w:t>
                      </w:r>
                    </w:p>
                    <w:p w14:paraId="2E0794DF" w14:textId="77777777" w:rsidR="00BC3AF4" w:rsidRPr="000B4AAE" w:rsidRDefault="00BC3AF4" w:rsidP="00283A2E">
                      <w:pPr>
                        <w:pStyle w:val="NoSpacing"/>
                      </w:pPr>
                    </w:p>
                  </w:txbxContent>
                </v:textbox>
                <w10:wrap type="square" anchorx="margin"/>
              </v:shape>
            </w:pict>
          </mc:Fallback>
        </mc:AlternateContent>
      </w:r>
      <w:r w:rsidR="00DE6FC4">
        <w:t xml:space="preserve">The APHSA facilitators are organizational effectiveness consultants who have extensive experience facilitating discussions to support the work of agencies from a systems perspective. Their main role was to facilitate meetings, including helping members identify priorities for the group, providing a structure and space for MALN members to connect with each other, and helping members develop relationships with each other. Facilitators supported MALN meetings by coordinating meetings with members’ schedules, sending out calendar invitations, and drafting meeting </w:t>
      </w:r>
      <w:r w:rsidR="00DE6FC4" w:rsidRPr="00985A0A">
        <w:t>agendas. The facilitators and APHSA’s research staff also research</w:t>
      </w:r>
      <w:r w:rsidR="00DE6FC4" w:rsidRPr="00DA76A8">
        <w:t>ed</w:t>
      </w:r>
      <w:r w:rsidR="00DE6FC4" w:rsidRPr="00985A0A">
        <w:t xml:space="preserve"> topics of interest to MALN members and develop</w:t>
      </w:r>
      <w:r w:rsidR="00DE6FC4" w:rsidRPr="00DA76A8">
        <w:t>ed</w:t>
      </w:r>
      <w:r w:rsidR="00DE6FC4" w:rsidRPr="00985A0A">
        <w:t xml:space="preserve"> materials</w:t>
      </w:r>
      <w:r w:rsidR="00DE6FC4">
        <w:t xml:space="preserve"> for MALN members</w:t>
      </w:r>
      <w:r w:rsidR="00DE6FC4" w:rsidRPr="00985A0A">
        <w:t xml:space="preserve"> such as infographics and summaries </w:t>
      </w:r>
      <w:r w:rsidR="00DE6FC4" w:rsidRPr="00DA76A8">
        <w:t>on meeting topics</w:t>
      </w:r>
      <w:r w:rsidR="00DE6FC4">
        <w:t>, such as using TANF funds for transportation.</w:t>
      </w:r>
      <w:r w:rsidR="00DE6FC4" w:rsidRPr="00985A0A">
        <w:t xml:space="preserve"> Facilitators also took</w:t>
      </w:r>
      <w:r w:rsidR="00DE6FC4">
        <w:t xml:space="preserve"> notes during meetings and regularly distributed meeting notes and materials to the MALN members after the meetings.</w:t>
      </w:r>
      <w:r w:rsidR="00DE6FC4" w:rsidRPr="00AE43EE">
        <w:t xml:space="preserve"> </w:t>
      </w:r>
    </w:p>
    <w:tbl>
      <w:tblPr>
        <w:tblStyle w:val="TanCell"/>
        <w:tblpPr w:leftFromText="180" w:rightFromText="180" w:vertAnchor="text" w:horzAnchor="margin" w:tblpXSpec="right" w:tblpY="62"/>
        <w:tblOverlap w:val="never"/>
        <w:tblW w:w="2615" w:type="pct"/>
        <w:jc w:val="right"/>
        <w:tblLook w:val="04A0" w:firstRow="1" w:lastRow="0" w:firstColumn="1" w:lastColumn="0" w:noHBand="0" w:noVBand="1"/>
      </w:tblPr>
      <w:tblGrid>
        <w:gridCol w:w="4895"/>
      </w:tblGrid>
      <w:tr w:rsidR="00C218DF" w14:paraId="05FCFDAF" w14:textId="77777777" w:rsidTr="00C218DF">
        <w:trPr>
          <w:trHeight w:val="2178"/>
          <w:jc w:val="right"/>
        </w:trPr>
        <w:tc>
          <w:tcPr>
            <w:tcW w:w="5000" w:type="pct"/>
          </w:tcPr>
          <w:p w14:paraId="7AA30E0C" w14:textId="77777777" w:rsidR="00C218DF" w:rsidRPr="0023403C" w:rsidRDefault="00C218DF" w:rsidP="00C218DF">
            <w:pPr>
              <w:pStyle w:val="SidebarHead"/>
            </w:pPr>
            <w:r>
              <w:t>What is the MALN road map?</w:t>
            </w:r>
          </w:p>
          <w:p w14:paraId="5C5ED0A7" w14:textId="77777777" w:rsidR="00C218DF" w:rsidRDefault="00C218DF" w:rsidP="00C218DF">
            <w:pPr>
              <w:pStyle w:val="Sidebar"/>
            </w:pPr>
            <w:r w:rsidRPr="005F5956">
              <w:t xml:space="preserve">Created by members, the MALN </w:t>
            </w:r>
            <w:r w:rsidRPr="00FA3E46">
              <w:t>road</w:t>
            </w:r>
            <w:r>
              <w:t xml:space="preserve"> </w:t>
            </w:r>
            <w:r w:rsidRPr="00FA3E46">
              <w:t xml:space="preserve">map includes four priority areas and describes activities MALN members </w:t>
            </w:r>
            <w:r w:rsidRPr="00DA76A8">
              <w:t xml:space="preserve">will </w:t>
            </w:r>
            <w:r>
              <w:t>undertake</w:t>
            </w:r>
            <w:r w:rsidRPr="00FA3E46">
              <w:t xml:space="preserve"> to achieve their desired future stat</w:t>
            </w:r>
            <w:r w:rsidRPr="00413E7B">
              <w:t xml:space="preserve">e. </w:t>
            </w:r>
            <w:r w:rsidRPr="002F0AD0">
              <w:t>Facilitators update the road</w:t>
            </w:r>
            <w:r>
              <w:t xml:space="preserve"> </w:t>
            </w:r>
            <w:r w:rsidRPr="002F0AD0">
              <w:t>map as members make progress within each priority area</w:t>
            </w:r>
            <w:r w:rsidRPr="00DA76A8">
              <w:t>. Each area</w:t>
            </w:r>
            <w:r>
              <w:t xml:space="preserve"> </w:t>
            </w:r>
            <w:r w:rsidRPr="002F0AD0">
              <w:t>also includes a vision statement</w:t>
            </w:r>
            <w:r>
              <w:t xml:space="preserve"> </w:t>
            </w:r>
            <w:r w:rsidRPr="002F0AD0">
              <w:t>as described below:</w:t>
            </w:r>
            <w:r>
              <w:t xml:space="preserve"> </w:t>
            </w:r>
          </w:p>
          <w:p w14:paraId="3C777EE5" w14:textId="2A6BB6FE" w:rsidR="00C218DF" w:rsidRPr="00E51E66" w:rsidRDefault="00C218DF" w:rsidP="00C218DF">
            <w:pPr>
              <w:pStyle w:val="SidebarListBullet"/>
              <w:framePr w:hSpace="0" w:wrap="auto" w:vAnchor="margin" w:yAlign="inline"/>
              <w:suppressOverlap w:val="0"/>
            </w:pPr>
            <w:r w:rsidRPr="00445996">
              <w:rPr>
                <w:b/>
                <w:bCs/>
              </w:rPr>
              <w:t xml:space="preserve">Priority </w:t>
            </w:r>
            <w:r>
              <w:rPr>
                <w:b/>
                <w:bCs/>
              </w:rPr>
              <w:t>A</w:t>
            </w:r>
            <w:r w:rsidRPr="00445996">
              <w:rPr>
                <w:b/>
                <w:bCs/>
              </w:rPr>
              <w:t xml:space="preserve">rea 1: </w:t>
            </w:r>
            <w:r>
              <w:rPr>
                <w:b/>
                <w:bCs/>
              </w:rPr>
              <w:t>Generative leadership</w:t>
            </w:r>
            <w:r w:rsidRPr="00C932B1">
              <w:rPr>
                <w:b/>
                <w:bCs/>
              </w:rPr>
              <w:t>.</w:t>
            </w:r>
            <w:r>
              <w:t xml:space="preserve"> </w:t>
            </w:r>
            <w:r w:rsidRPr="00E51E66">
              <w:t>Cross</w:t>
            </w:r>
            <w:r>
              <w:t>-</w:t>
            </w:r>
            <w:r w:rsidRPr="00E51E66">
              <w:t>sector leaders collaborate</w:t>
            </w:r>
            <w:r>
              <w:t>,</w:t>
            </w:r>
            <w:r w:rsidRPr="00E51E66">
              <w:t xml:space="preserve"> leading to actionable changes within Mississippi’s </w:t>
            </w:r>
            <w:r>
              <w:t>h</w:t>
            </w:r>
            <w:r w:rsidRPr="00E51E66">
              <w:t xml:space="preserve">ealth and </w:t>
            </w:r>
            <w:r>
              <w:t>h</w:t>
            </w:r>
            <w:r w:rsidRPr="00E51E66">
              <w:t xml:space="preserve">uman </w:t>
            </w:r>
            <w:r>
              <w:t>s</w:t>
            </w:r>
            <w:r w:rsidRPr="00E51E66">
              <w:t xml:space="preserve">ervices system. </w:t>
            </w:r>
          </w:p>
          <w:p w14:paraId="4F4BE411" w14:textId="77777777" w:rsidR="00C218DF" w:rsidRDefault="00C218DF" w:rsidP="00C218DF">
            <w:pPr>
              <w:pStyle w:val="SidebarListBullet"/>
              <w:framePr w:hSpace="0" w:wrap="auto" w:vAnchor="margin" w:yAlign="inline"/>
              <w:suppressOverlap w:val="0"/>
            </w:pPr>
            <w:r w:rsidRPr="00445996">
              <w:rPr>
                <w:b/>
                <w:bCs/>
              </w:rPr>
              <w:t xml:space="preserve">Priority Area 2: </w:t>
            </w:r>
            <w:r>
              <w:rPr>
                <w:b/>
                <w:bCs/>
              </w:rPr>
              <w:t>Innovative programming</w:t>
            </w:r>
            <w:r w:rsidRPr="00C932B1">
              <w:rPr>
                <w:b/>
                <w:bCs/>
              </w:rPr>
              <w:t>.</w:t>
            </w:r>
            <w:r>
              <w:t xml:space="preserve"> Community-centered programming incorporates the voice of service participants throughout Mississippi. </w:t>
            </w:r>
          </w:p>
          <w:p w14:paraId="2D7947F4" w14:textId="77777777" w:rsidR="00C218DF" w:rsidRDefault="00C218DF" w:rsidP="00C218DF">
            <w:pPr>
              <w:pStyle w:val="SidebarListBullet"/>
              <w:framePr w:hSpace="0" w:wrap="auto" w:vAnchor="margin" w:yAlign="inline"/>
              <w:suppressOverlap w:val="0"/>
            </w:pPr>
            <w:r w:rsidRPr="00445996">
              <w:rPr>
                <w:b/>
                <w:bCs/>
              </w:rPr>
              <w:t xml:space="preserve">Priority Area 3: </w:t>
            </w:r>
            <w:r w:rsidRPr="00DA6900">
              <w:rPr>
                <w:b/>
                <w:bCs/>
              </w:rPr>
              <w:t>Customer</w:t>
            </w:r>
            <w:r>
              <w:rPr>
                <w:b/>
                <w:bCs/>
              </w:rPr>
              <w:t>-centered</w:t>
            </w:r>
            <w:r w:rsidRPr="00DA6900">
              <w:rPr>
                <w:b/>
                <w:bCs/>
              </w:rPr>
              <w:t xml:space="preserve"> </w:t>
            </w:r>
            <w:r>
              <w:rPr>
                <w:b/>
                <w:bCs/>
              </w:rPr>
              <w:t>e</w:t>
            </w:r>
            <w:r w:rsidRPr="00DA6900">
              <w:rPr>
                <w:b/>
                <w:bCs/>
              </w:rPr>
              <w:t>xperience</w:t>
            </w:r>
            <w:r>
              <w:rPr>
                <w:b/>
                <w:bCs/>
              </w:rPr>
              <w:t>.</w:t>
            </w:r>
            <w:r>
              <w:t xml:space="preserve"> Mississippians are met with a harmonious and accessible customer experience throughout the state, reflecting the strengths of each community, while exploring the incorporation of mobile service delivery. </w:t>
            </w:r>
          </w:p>
          <w:p w14:paraId="20CA2513" w14:textId="77777777" w:rsidR="00C218DF" w:rsidRPr="001E402A" w:rsidRDefault="00C218DF" w:rsidP="00C218DF">
            <w:pPr>
              <w:pStyle w:val="SidebarListBullet"/>
              <w:framePr w:hSpace="0" w:wrap="auto" w:vAnchor="margin" w:yAlign="inline"/>
              <w:suppressOverlap w:val="0"/>
            </w:pPr>
            <w:r w:rsidRPr="00445996">
              <w:rPr>
                <w:b/>
                <w:bCs/>
              </w:rPr>
              <w:t xml:space="preserve">Priority </w:t>
            </w:r>
            <w:r>
              <w:rPr>
                <w:b/>
                <w:bCs/>
              </w:rPr>
              <w:t>A</w:t>
            </w:r>
            <w:r w:rsidRPr="00445996">
              <w:rPr>
                <w:b/>
                <w:bCs/>
              </w:rPr>
              <w:t xml:space="preserve">rea 4: </w:t>
            </w:r>
            <w:r w:rsidRPr="00474334">
              <w:rPr>
                <w:b/>
                <w:bCs/>
              </w:rPr>
              <w:t>Community-</w:t>
            </w:r>
            <w:r>
              <w:rPr>
                <w:b/>
                <w:bCs/>
              </w:rPr>
              <w:t>focused education.</w:t>
            </w:r>
            <w:r>
              <w:t xml:space="preserve"> Educational experiences happen within the community and reflect a cross-sector perspective. </w:t>
            </w:r>
          </w:p>
        </w:tc>
      </w:tr>
    </w:tbl>
    <w:p w14:paraId="78B40F03" w14:textId="7FD162E6" w:rsidR="00DE6FC4" w:rsidRPr="00D81BD3" w:rsidRDefault="00DE6FC4" w:rsidP="003C062D">
      <w:pPr>
        <w:pStyle w:val="Paragraph"/>
        <w:rPr>
          <w:b/>
          <w:bCs/>
        </w:rPr>
      </w:pPr>
      <w:r w:rsidRPr="00D81BD3">
        <w:rPr>
          <w:b/>
          <w:bCs/>
        </w:rPr>
        <w:t xml:space="preserve">The following takeaways describe how facilitators planned MALN meetings </w:t>
      </w:r>
      <w:r w:rsidR="00230DB6">
        <w:rPr>
          <w:b/>
          <w:bCs/>
        </w:rPr>
        <w:t xml:space="preserve">and their recommendations for how </w:t>
      </w:r>
      <w:r w:rsidRPr="00D81BD3">
        <w:rPr>
          <w:b/>
          <w:bCs/>
        </w:rPr>
        <w:t>to promote sharing and learning</w:t>
      </w:r>
      <w:r w:rsidR="00843608">
        <w:rPr>
          <w:b/>
          <w:bCs/>
        </w:rPr>
        <w:t xml:space="preserve"> during meetings</w:t>
      </w:r>
      <w:r w:rsidRPr="00D81BD3">
        <w:rPr>
          <w:b/>
          <w:bCs/>
        </w:rPr>
        <w:t>:</w:t>
      </w:r>
    </w:p>
    <w:p w14:paraId="2EB0E9F7" w14:textId="262ECE20" w:rsidR="00DE6FC4" w:rsidRPr="00D32B59" w:rsidRDefault="00DE6FC4" w:rsidP="00E74C02">
      <w:pPr>
        <w:pStyle w:val="Paragraph"/>
        <w:rPr>
          <w:b/>
          <w:bCs/>
        </w:rPr>
      </w:pPr>
      <w:bookmarkStart w:id="4" w:name="develop"/>
      <w:bookmarkStart w:id="5" w:name="_Hlk167961280"/>
      <w:bookmarkEnd w:id="4"/>
      <w:r w:rsidRPr="00BC3AF4">
        <w:rPr>
          <w:rStyle w:val="RunIn"/>
        </w:rPr>
        <w:t>Develop a shared future state alongside</w:t>
      </w:r>
      <w:r w:rsidR="00843608">
        <w:rPr>
          <w:rStyle w:val="RunIn"/>
        </w:rPr>
        <w:t xml:space="preserve"> </w:t>
      </w:r>
      <w:r w:rsidRPr="00BC3AF4">
        <w:rPr>
          <w:rStyle w:val="RunIn"/>
        </w:rPr>
        <w:t xml:space="preserve">members, with a road map for how to get there. </w:t>
      </w:r>
      <w:bookmarkEnd w:id="5"/>
      <w:r>
        <w:t xml:space="preserve">A key role of the facilitators in the first year was to collaborate with MALN members to develop a desired future state and road map, to help the group identify goals and action steps. The facilitators said they modelled “inclusive facilitation” in developing the road map and in MALN meetings to show members how to identify goals and recognize the importance of hearing from their staff and the community. Facilitators used the first several MALN meetings to develop the desired future state and road map, which laid the groundwork and direction for future meeting topics. The desired future state outlines what Mississippi will look like when the MALN has advanced family economic mobility through implementation of </w:t>
      </w:r>
      <w:r>
        <w:lastRenderedPageBreak/>
        <w:t>the road map. MALN meetings involved reviewing the road map and action items</w:t>
      </w:r>
      <w:r w:rsidRPr="00D1068B">
        <w:t xml:space="preserve"> to check </w:t>
      </w:r>
      <w:r>
        <w:t>whether</w:t>
      </w:r>
      <w:r w:rsidRPr="00D1068B">
        <w:t xml:space="preserve"> the group’s priorities remain</w:t>
      </w:r>
      <w:r>
        <w:t>ed</w:t>
      </w:r>
      <w:r w:rsidRPr="00D1068B">
        <w:t xml:space="preserve"> the same</w:t>
      </w:r>
      <w:r>
        <w:t xml:space="preserve">. </w:t>
      </w:r>
    </w:p>
    <w:p w14:paraId="210EF25E" w14:textId="4F01B9A2" w:rsidR="00DE6FC4" w:rsidRDefault="000615D4" w:rsidP="00E74C02">
      <w:pPr>
        <w:pStyle w:val="Paragraph"/>
      </w:pPr>
      <w:bookmarkStart w:id="6" w:name="_Hlk167961267"/>
      <w:r w:rsidRPr="00BC3AF4">
        <w:rPr>
          <w:noProof/>
        </w:rPr>
        <mc:AlternateContent>
          <mc:Choice Requires="wps">
            <w:drawing>
              <wp:anchor distT="0" distB="0" distL="114300" distR="114300" simplePos="0" relativeHeight="251693056" behindDoc="0" locked="0" layoutInCell="1" allowOverlap="1" wp14:anchorId="3F2FC047" wp14:editId="6D65972B">
                <wp:simplePos x="0" y="0"/>
                <wp:positionH relativeFrom="margin">
                  <wp:posOffset>3105150</wp:posOffset>
                </wp:positionH>
                <wp:positionV relativeFrom="margin">
                  <wp:posOffset>57150</wp:posOffset>
                </wp:positionV>
                <wp:extent cx="2834640" cy="2066544"/>
                <wp:effectExtent l="0" t="0" r="3810" b="10160"/>
                <wp:wrapSquare wrapText="bothSides"/>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34640" cy="2066544"/>
                        </a:xfrm>
                        <a:prstGeom prst="rect">
                          <a:avLst/>
                        </a:prstGeom>
                        <a:noFill/>
                        <a:ln w="6350">
                          <a:noFill/>
                        </a:ln>
                      </wps:spPr>
                      <wps:txbx>
                        <w:txbxContent>
                          <w:p w14:paraId="201C0B4C" w14:textId="77777777" w:rsidR="000615D4" w:rsidRDefault="000615D4" w:rsidP="000615D4">
                            <w:pPr>
                              <w:pStyle w:val="NoSpacing"/>
                            </w:pPr>
                            <w:r>
                              <w:rPr>
                                <w:noProof/>
                              </w:rPr>
                              <w:drawing>
                                <wp:inline distT="0" distB="0" distL="0" distR="0" wp14:anchorId="1C8BF8E4" wp14:editId="40D7FD0C">
                                  <wp:extent cx="1033272" cy="82296"/>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33272" cy="82296"/>
                                          </a:xfrm>
                                          <a:prstGeom prst="rect">
                                            <a:avLst/>
                                          </a:prstGeom>
                                        </pic:spPr>
                                      </pic:pic>
                                    </a:graphicData>
                                  </a:graphic>
                                </wp:inline>
                              </w:drawing>
                            </w:r>
                          </w:p>
                          <w:p w14:paraId="6EEA2D4F" w14:textId="4726D158" w:rsidR="000615D4" w:rsidRDefault="000615D4" w:rsidP="000615D4">
                            <w:pPr>
                              <w:pStyle w:val="Quote"/>
                            </w:pPr>
                            <w:r>
                              <w:t xml:space="preserve">“MALN members know themselves best. The facilitator </w:t>
                            </w:r>
                            <w:proofErr w:type="gramStart"/>
                            <w:r>
                              <w:t>has to</w:t>
                            </w:r>
                            <w:proofErr w:type="gramEnd"/>
                            <w:r>
                              <w:t xml:space="preserve"> see it and help them get to that. It should be participant-driven, facilitator-led work. And recognizing that you </w:t>
                            </w:r>
                            <w:proofErr w:type="gramStart"/>
                            <w:r>
                              <w:t>have to</w:t>
                            </w:r>
                            <w:proofErr w:type="gramEnd"/>
                            <w:r>
                              <w:t xml:space="preserve"> be on your toes—the agenda might have to be changed after the meeting starts. You’re meeting them where they are and where they want to go.”</w:t>
                            </w:r>
                          </w:p>
                          <w:p w14:paraId="28D93393" w14:textId="34BC25F3" w:rsidR="000615D4" w:rsidRPr="00CB4AFF" w:rsidRDefault="000615D4" w:rsidP="000615D4">
                            <w:pPr>
                              <w:pStyle w:val="QuoteAttribution"/>
                            </w:pPr>
                            <w:r>
                              <w:t>— MALN facilitator</w:t>
                            </w:r>
                          </w:p>
                          <w:p w14:paraId="2F9C5C41" w14:textId="77777777" w:rsidR="000615D4" w:rsidRPr="000B4AAE" w:rsidRDefault="000615D4" w:rsidP="000615D4">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FC047" id="Text Box 41" o:spid="_x0000_s1027" type="#_x0000_t202" alt="&quot;&quot;" style="position:absolute;margin-left:244.5pt;margin-top:4.5pt;width:223.2pt;height:162.7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" filled="f" stroked="f" strokeweight=".5pt">
                <v:textbox inset="0,0,0,0">
                  <w:txbxContent>
                    <w:p w14:paraId="201C0B4C" w14:textId="77777777" w:rsidR="000615D4" w:rsidRDefault="000615D4" w:rsidP="000615D4">
                      <w:pPr>
                        <w:pStyle w:val="NoSpacing"/>
                      </w:pPr>
                      <w:r>
                        <w:rPr>
                          <w:noProof/>
                        </w:rPr>
                        <w:drawing>
                          <wp:inline distT="0" distB="0" distL="0" distR="0" wp14:anchorId="1C8BF8E4" wp14:editId="40D7FD0C">
                            <wp:extent cx="1033272" cy="82296"/>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33272" cy="82296"/>
                                    </a:xfrm>
                                    <a:prstGeom prst="rect">
                                      <a:avLst/>
                                    </a:prstGeom>
                                  </pic:spPr>
                                </pic:pic>
                              </a:graphicData>
                            </a:graphic>
                          </wp:inline>
                        </w:drawing>
                      </w:r>
                    </w:p>
                    <w:p w14:paraId="6EEA2D4F" w14:textId="4726D158" w:rsidR="000615D4" w:rsidRDefault="000615D4" w:rsidP="000615D4">
                      <w:pPr>
                        <w:pStyle w:val="Quote"/>
                      </w:pPr>
                      <w:r>
                        <w:t xml:space="preserve">“MALN members know themselves best. The facilitator </w:t>
                      </w:r>
                      <w:proofErr w:type="gramStart"/>
                      <w:r>
                        <w:t>has to</w:t>
                      </w:r>
                      <w:proofErr w:type="gramEnd"/>
                      <w:r>
                        <w:t xml:space="preserve"> see it and help them get to that. It should be participant-driven, facilitator-led work. And recognizing that you </w:t>
                      </w:r>
                      <w:proofErr w:type="gramStart"/>
                      <w:r>
                        <w:t>have to</w:t>
                      </w:r>
                      <w:proofErr w:type="gramEnd"/>
                      <w:r>
                        <w:t xml:space="preserve"> be on your toes—the agenda might have to be changed after the meeting starts. You’re meeting them where they are and where they want to go.”</w:t>
                      </w:r>
                    </w:p>
                    <w:p w14:paraId="28D93393" w14:textId="34BC25F3" w:rsidR="000615D4" w:rsidRPr="00CB4AFF" w:rsidRDefault="000615D4" w:rsidP="000615D4">
                      <w:pPr>
                        <w:pStyle w:val="QuoteAttribution"/>
                      </w:pPr>
                      <w:r>
                        <w:t>— MALN facilitator</w:t>
                      </w:r>
                    </w:p>
                    <w:p w14:paraId="2F9C5C41" w14:textId="77777777" w:rsidR="000615D4" w:rsidRPr="000B4AAE" w:rsidRDefault="000615D4" w:rsidP="000615D4">
                      <w:pPr>
                        <w:pStyle w:val="NoSpacing"/>
                      </w:pPr>
                    </w:p>
                  </w:txbxContent>
                </v:textbox>
                <w10:wrap type="square" anchorx="margin" anchory="margin"/>
              </v:shape>
            </w:pict>
          </mc:Fallback>
        </mc:AlternateContent>
      </w:r>
      <w:r w:rsidR="00DE6FC4" w:rsidRPr="00BC3AF4">
        <w:rPr>
          <w:rStyle w:val="RunIn"/>
        </w:rPr>
        <w:t xml:space="preserve">Ensure that members’ knowledge and interests inform meeting agendas. </w:t>
      </w:r>
      <w:bookmarkEnd w:id="6"/>
      <w:r w:rsidR="00DE6FC4" w:rsidRPr="00D1068B">
        <w:t>After the goals of the MALN were established, facilitators determined the agenda topics based on the interests of MALN members.</w:t>
      </w:r>
      <w:r w:rsidR="00DE6FC4">
        <w:t xml:space="preserve"> </w:t>
      </w:r>
      <w:r w:rsidR="00DE6FC4" w:rsidRPr="00504B17">
        <w:t>The facilitators said they view</w:t>
      </w:r>
      <w:r w:rsidR="00DE6FC4">
        <w:t>ed</w:t>
      </w:r>
      <w:r w:rsidR="00DE6FC4" w:rsidRPr="00504B17">
        <w:t xml:space="preserve"> MALN members as experts and relied on them to drive meeting topics, which informed the development of the agendas.</w:t>
      </w:r>
      <w:r w:rsidR="00DE6FC4" w:rsidRPr="006F6451">
        <w:t xml:space="preserve"> Facilitators ended meetings by asking members what they wanted to discuss during the next meeting. This allowed them to prepare</w:t>
      </w:r>
      <w:r w:rsidR="00DE6FC4" w:rsidRPr="00D1068B">
        <w:t xml:space="preserve"> for the next</w:t>
      </w:r>
      <w:r w:rsidR="00DE6FC4">
        <w:t xml:space="preserve"> </w:t>
      </w:r>
      <w:r w:rsidR="00DE6FC4" w:rsidRPr="00D1068B">
        <w:t>meeting</w:t>
      </w:r>
      <w:r w:rsidR="00DE6FC4">
        <w:t xml:space="preserve"> and </w:t>
      </w:r>
      <w:r w:rsidR="00DE6FC4" w:rsidRPr="00D1068B">
        <w:t xml:space="preserve">be responsive to the </w:t>
      </w:r>
      <w:r w:rsidR="00DE6FC4">
        <w:t xml:space="preserve">evolving </w:t>
      </w:r>
      <w:r w:rsidR="00DE6FC4" w:rsidRPr="00D1068B">
        <w:t xml:space="preserve">needs </w:t>
      </w:r>
      <w:r w:rsidR="00DE6FC4">
        <w:t xml:space="preserve">and interests </w:t>
      </w:r>
      <w:r w:rsidR="00DE6FC4" w:rsidRPr="00D1068B">
        <w:t>of the group</w:t>
      </w:r>
      <w:r w:rsidR="00DE6FC4">
        <w:t xml:space="preserve">. For example, in one MALN meeting, members said they were interested in learning more about how to use TANF funds for transportation, so the facilitators planned a meeting focused on this topic. </w:t>
      </w:r>
    </w:p>
    <w:p w14:paraId="5574BB44" w14:textId="37836E61" w:rsidR="00DE6FC4" w:rsidRPr="00D1068B" w:rsidRDefault="00DE6FC4" w:rsidP="00E74C02">
      <w:pPr>
        <w:pStyle w:val="Paragraph"/>
      </w:pPr>
      <w:r>
        <w:t>A</w:t>
      </w:r>
      <w:r w:rsidRPr="00D1068B">
        <w:t xml:space="preserve">t the </w:t>
      </w:r>
      <w:r>
        <w:t>first MALN meeting</w:t>
      </w:r>
      <w:r w:rsidRPr="00D1068B">
        <w:t xml:space="preserve">, facilitators </w:t>
      </w:r>
      <w:r>
        <w:t xml:space="preserve">gave </w:t>
      </w:r>
      <w:r w:rsidRPr="00707285">
        <w:t xml:space="preserve">members time to share and connect with each other at the start. They did not intend to begin future meetings this way. However, based on member feedback, facilitators adjusted the meeting schedules to allow time </w:t>
      </w:r>
      <w:r>
        <w:t xml:space="preserve">for </w:t>
      </w:r>
      <w:r w:rsidRPr="00707285">
        <w:t>shar</w:t>
      </w:r>
      <w:r>
        <w:t>ing</w:t>
      </w:r>
      <w:r w:rsidRPr="00707285">
        <w:t xml:space="preserve"> recent agency initiatives, including successes and challenges, at the beginning of every meeting.</w:t>
      </w:r>
      <w:r>
        <w:t xml:space="preserve"> </w:t>
      </w:r>
    </w:p>
    <w:p w14:paraId="7A41059A" w14:textId="103B4A01" w:rsidR="00DE6FC4" w:rsidRDefault="005C768A" w:rsidP="00E74C02">
      <w:pPr>
        <w:pStyle w:val="Paragraph"/>
      </w:pPr>
      <w:bookmarkStart w:id="7" w:name="_Hlk167961270"/>
      <w:r w:rsidRPr="00BC3AF4">
        <w:rPr>
          <w:noProof/>
        </w:rPr>
        <mc:AlternateContent>
          <mc:Choice Requires="wps">
            <w:drawing>
              <wp:anchor distT="0" distB="0" distL="114300" distR="114300" simplePos="0" relativeHeight="251703296" behindDoc="0" locked="0" layoutInCell="1" allowOverlap="1" wp14:anchorId="53A2B198" wp14:editId="2E0B9A82">
                <wp:simplePos x="0" y="0"/>
                <wp:positionH relativeFrom="margin">
                  <wp:posOffset>2914650</wp:posOffset>
                </wp:positionH>
                <wp:positionV relativeFrom="paragraph">
                  <wp:posOffset>885825</wp:posOffset>
                </wp:positionV>
                <wp:extent cx="3017520" cy="1819656"/>
                <wp:effectExtent l="0" t="0" r="11430" b="9525"/>
                <wp:wrapSquare wrapText="bothSides"/>
                <wp:docPr id="47" name="Text Box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17520" cy="1819656"/>
                        </a:xfrm>
                        <a:prstGeom prst="rect">
                          <a:avLst/>
                        </a:prstGeom>
                        <a:noFill/>
                        <a:ln w="6350">
                          <a:noFill/>
                        </a:ln>
                      </wps:spPr>
                      <wps:txbx>
                        <w:txbxContent>
                          <w:p w14:paraId="341AC6F2" w14:textId="77777777" w:rsidR="005C768A" w:rsidRDefault="005C768A" w:rsidP="005C768A">
                            <w:pPr>
                              <w:pStyle w:val="NoSpacing"/>
                            </w:pPr>
                            <w:r>
                              <w:rPr>
                                <w:noProof/>
                              </w:rPr>
                              <w:drawing>
                                <wp:inline distT="0" distB="0" distL="0" distR="0" wp14:anchorId="4F1CFC44" wp14:editId="2606A11C">
                                  <wp:extent cx="1033272" cy="82296"/>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33272" cy="82296"/>
                                          </a:xfrm>
                                          <a:prstGeom prst="rect">
                                            <a:avLst/>
                                          </a:prstGeom>
                                        </pic:spPr>
                                      </pic:pic>
                                    </a:graphicData>
                                  </a:graphic>
                                </wp:inline>
                              </w:drawing>
                            </w:r>
                          </w:p>
                          <w:p w14:paraId="024F0E4E" w14:textId="77777777" w:rsidR="005C768A" w:rsidRDefault="005C768A" w:rsidP="005C768A">
                            <w:pPr>
                              <w:pStyle w:val="Quote"/>
                            </w:pPr>
                            <w:r>
                              <w:t>“[The facilitators] have been so helpful, quick to respond, very professional, easy to work with—the type of people that you enjoy being in a meeting with…. You have a room full of alpha dogs and they do a great job keeping us on track and making sure everyone is heard and personalities don’t dominate.”</w:t>
                            </w:r>
                          </w:p>
                          <w:p w14:paraId="2DE47864" w14:textId="77777777" w:rsidR="005C768A" w:rsidRPr="00CB4AFF" w:rsidRDefault="005C768A" w:rsidP="005C768A">
                            <w:pPr>
                              <w:pStyle w:val="QuoteAttribution"/>
                            </w:pPr>
                            <w:r>
                              <w:t>— MALN member</w:t>
                            </w:r>
                          </w:p>
                          <w:p w14:paraId="30EB54B2" w14:textId="77777777" w:rsidR="005C768A" w:rsidRPr="000B4AAE" w:rsidRDefault="005C768A" w:rsidP="005C768A">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2B198" id="Text Box 47" o:spid="_x0000_s1028" type="#_x0000_t202" alt="&quot;&quot;" style="position:absolute;margin-left:229.5pt;margin-top:69.75pt;width:237.6pt;height:143.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" filled="f" stroked="f" strokeweight=".5pt">
                <v:textbox inset="0,0,0,0">
                  <w:txbxContent>
                    <w:p w14:paraId="341AC6F2" w14:textId="77777777" w:rsidR="005C768A" w:rsidRDefault="005C768A" w:rsidP="005C768A">
                      <w:pPr>
                        <w:pStyle w:val="NoSpacing"/>
                      </w:pPr>
                      <w:r>
                        <w:rPr>
                          <w:noProof/>
                        </w:rPr>
                        <w:drawing>
                          <wp:inline distT="0" distB="0" distL="0" distR="0" wp14:anchorId="4F1CFC44" wp14:editId="2606A11C">
                            <wp:extent cx="1033272" cy="82296"/>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33272" cy="82296"/>
                                    </a:xfrm>
                                    <a:prstGeom prst="rect">
                                      <a:avLst/>
                                    </a:prstGeom>
                                  </pic:spPr>
                                </pic:pic>
                              </a:graphicData>
                            </a:graphic>
                          </wp:inline>
                        </w:drawing>
                      </w:r>
                    </w:p>
                    <w:p w14:paraId="024F0E4E" w14:textId="77777777" w:rsidR="005C768A" w:rsidRDefault="005C768A" w:rsidP="005C768A">
                      <w:pPr>
                        <w:pStyle w:val="Quote"/>
                      </w:pPr>
                      <w:r>
                        <w:t>“[The facilitators] have been so helpful, quick to respond, very professional, easy to work with—the type of people that you enjoy being in a meeting with…. You have a room full of alpha dogs and they do a great job keeping us on track and making sure everyone is heard and personalities don’t dominate.”</w:t>
                      </w:r>
                    </w:p>
                    <w:p w14:paraId="2DE47864" w14:textId="77777777" w:rsidR="005C768A" w:rsidRPr="00CB4AFF" w:rsidRDefault="005C768A" w:rsidP="005C768A">
                      <w:pPr>
                        <w:pStyle w:val="QuoteAttribution"/>
                      </w:pPr>
                      <w:r>
                        <w:t>— MALN member</w:t>
                      </w:r>
                    </w:p>
                    <w:p w14:paraId="30EB54B2" w14:textId="77777777" w:rsidR="005C768A" w:rsidRPr="000B4AAE" w:rsidRDefault="005C768A" w:rsidP="005C768A">
                      <w:pPr>
                        <w:pStyle w:val="NoSpacing"/>
                      </w:pPr>
                    </w:p>
                  </w:txbxContent>
                </v:textbox>
                <w10:wrap type="square" anchorx="margin"/>
              </v:shape>
            </w:pict>
          </mc:Fallback>
        </mc:AlternateContent>
      </w:r>
      <w:r w:rsidR="00DE6FC4" w:rsidRPr="00BC3AF4">
        <w:rPr>
          <w:rStyle w:val="RunIn"/>
        </w:rPr>
        <w:t xml:space="preserve">Establish trust between facilitators and MALN members to develop a safe meeting culture. </w:t>
      </w:r>
      <w:bookmarkEnd w:id="7"/>
      <w:r w:rsidR="00DE6FC4" w:rsidRPr="009A3647">
        <w:t xml:space="preserve">Facilitators </w:t>
      </w:r>
      <w:r w:rsidR="00DE6FC4">
        <w:t>said</w:t>
      </w:r>
      <w:r w:rsidR="00DE6FC4" w:rsidRPr="009A3647">
        <w:t xml:space="preserve"> </w:t>
      </w:r>
      <w:r w:rsidR="00DE6FC4">
        <w:t>that</w:t>
      </w:r>
      <w:r w:rsidR="00DE6FC4" w:rsidRPr="009A3647">
        <w:t xml:space="preserve"> </w:t>
      </w:r>
      <w:r w:rsidR="00DE6FC4">
        <w:t xml:space="preserve">developing a good relationship between themselves and </w:t>
      </w:r>
      <w:r w:rsidR="00DE6FC4" w:rsidRPr="009A3647">
        <w:t>MALN members play</w:t>
      </w:r>
      <w:r w:rsidR="00DE6FC4">
        <w:t>ed</w:t>
      </w:r>
      <w:r w:rsidR="00DE6FC4" w:rsidRPr="009A3647">
        <w:t xml:space="preserve"> a key role in </w:t>
      </w:r>
      <w:r w:rsidR="00DE6FC4">
        <w:t>creating a</w:t>
      </w:r>
      <w:r w:rsidR="00DE6FC4" w:rsidRPr="009A3647">
        <w:t xml:space="preserve"> safe space for members to </w:t>
      </w:r>
      <w:r w:rsidR="00DE6FC4">
        <w:t>share agency</w:t>
      </w:r>
      <w:r w:rsidR="00DE6FC4" w:rsidRPr="009A3647">
        <w:t xml:space="preserve"> challenges</w:t>
      </w:r>
      <w:r w:rsidR="00DE6FC4">
        <w:t xml:space="preserve"> with each other</w:t>
      </w:r>
      <w:r w:rsidR="00DE6FC4" w:rsidRPr="009A3647">
        <w:t xml:space="preserve">. </w:t>
      </w:r>
      <w:r w:rsidR="00DE6FC4">
        <w:t xml:space="preserve">Facilitators developed this relationship through listening to MALN members, letting them lead the work, and understanding the context of Mississippi. They also asked critical questions to probe further during meetings, rather than telling members what to do. </w:t>
      </w:r>
    </w:p>
    <w:p w14:paraId="2B80E659" w14:textId="0AF13153" w:rsidR="00DE6FC4" w:rsidRDefault="00DE6FC4" w:rsidP="00E74C02">
      <w:pPr>
        <w:pStyle w:val="Paragraph"/>
      </w:pPr>
      <w:r>
        <w:t>The f</w:t>
      </w:r>
      <w:r w:rsidRPr="009A3647">
        <w:t xml:space="preserve">acilitators </w:t>
      </w:r>
      <w:r>
        <w:t>initially planned</w:t>
      </w:r>
      <w:r w:rsidRPr="009A3647">
        <w:t xml:space="preserve"> to </w:t>
      </w:r>
      <w:r>
        <w:t>include</w:t>
      </w:r>
      <w:r w:rsidRPr="009A3647">
        <w:t xml:space="preserve"> a local facilitator from Mississippi</w:t>
      </w:r>
      <w:r>
        <w:t xml:space="preserve"> to support their meeting planning and facilitation. However,</w:t>
      </w:r>
      <w:r w:rsidRPr="009A3647">
        <w:t xml:space="preserve"> MALN members decided not to pursue a local facilitator </w:t>
      </w:r>
      <w:r>
        <w:t>because they</w:t>
      </w:r>
      <w:r w:rsidRPr="009A3647">
        <w:t xml:space="preserve"> developed a good relationship with </w:t>
      </w:r>
      <w:r>
        <w:t xml:space="preserve">the </w:t>
      </w:r>
      <w:r w:rsidRPr="009A3647">
        <w:t>APHSA facilitators</w:t>
      </w:r>
      <w:r>
        <w:t xml:space="preserve"> and trusted them to facilitate meetings as a neutral party</w:t>
      </w:r>
      <w:r w:rsidRPr="009A3647">
        <w:t>.</w:t>
      </w:r>
    </w:p>
    <w:p w14:paraId="0B11B27C" w14:textId="20205D20" w:rsidR="00DE6FC4" w:rsidRDefault="00E97A25" w:rsidP="00092A5F">
      <w:pPr>
        <w:pStyle w:val="H1"/>
      </w:pPr>
      <w:bookmarkStart w:id="8" w:name="section2"/>
      <w:bookmarkStart w:id="9" w:name="section3"/>
      <w:bookmarkStart w:id="10" w:name="_Hlk166055679"/>
      <w:bookmarkEnd w:id="8"/>
      <w:bookmarkEnd w:id="9"/>
      <w:r>
        <w:t>III.</w:t>
      </w:r>
      <w:r>
        <w:tab/>
      </w:r>
      <w:r w:rsidR="00DE6FC4">
        <w:t>Who attended MALN meetings?</w:t>
      </w:r>
    </w:p>
    <w:p w14:paraId="40F903D5" w14:textId="6C74C921" w:rsidR="00DE6FC4" w:rsidRDefault="00DE6FC4" w:rsidP="00092A5F">
      <w:pPr>
        <w:pStyle w:val="ParagraphContinued"/>
      </w:pPr>
      <w:r>
        <w:t xml:space="preserve">Prior to starting the MALN, APHSA provided technical assistance to MDHS staff </w:t>
      </w:r>
      <w:r w:rsidRPr="003B0A87">
        <w:rPr>
          <w:szCs w:val="20"/>
        </w:rPr>
        <w:t>in organizational culture and internal workforce.</w:t>
      </w:r>
      <w:r>
        <w:rPr>
          <w:szCs w:val="20"/>
        </w:rPr>
        <w:t xml:space="preserve"> </w:t>
      </w:r>
      <w:r>
        <w:t xml:space="preserve">In preparing for the first MALN meeting, APHSA facilitators asked MDHS leadership whom to invite to join the network. They recommended </w:t>
      </w:r>
      <w:r w:rsidRPr="00A24AE5">
        <w:t xml:space="preserve">partnering with leaders from Child Protective Services, the Department of Health, and Workforce Development. </w:t>
      </w:r>
      <w:r>
        <w:t xml:space="preserve">MDHS leadership considered these agencies key leaders in advancing family economic mobility in the state. </w:t>
      </w:r>
    </w:p>
    <w:p w14:paraId="2C14D27B" w14:textId="66287F5A" w:rsidR="00DE6FC4" w:rsidRDefault="00DE6FC4" w:rsidP="00092A5F">
      <w:pPr>
        <w:pStyle w:val="Paragraph"/>
      </w:pPr>
      <w:r>
        <w:lastRenderedPageBreak/>
        <w:t xml:space="preserve">Initially, APHSA intended that this small group of agency leaders, including MDHS, would </w:t>
      </w:r>
      <w:r w:rsidRPr="00674560">
        <w:t>develop a</w:t>
      </w:r>
      <w:r>
        <w:t xml:space="preserve"> road map</w:t>
      </w:r>
      <w:r w:rsidRPr="00674560">
        <w:t xml:space="preserve"> to define the focus of the initiative </w:t>
      </w:r>
      <w:r>
        <w:t>as well as</w:t>
      </w:r>
      <w:r w:rsidRPr="00674560">
        <w:t xml:space="preserve"> their planned activities and goals. However, </w:t>
      </w:r>
      <w:r>
        <w:t xml:space="preserve">after five state agency leaders met for two meetings in spring and summer 2022, they </w:t>
      </w:r>
      <w:r w:rsidRPr="00674560">
        <w:t xml:space="preserve">decided that </w:t>
      </w:r>
      <w:r>
        <w:t xml:space="preserve">a larger group should determine the MALN’s priorities. Invitations were extended to additional agencies to join the MALN. </w:t>
      </w:r>
    </w:p>
    <w:p w14:paraId="35DB72D4" w14:textId="07E9EB78" w:rsidR="00DE6FC4" w:rsidRDefault="00DE6FC4" w:rsidP="00092A5F">
      <w:pPr>
        <w:pStyle w:val="Paragraph"/>
      </w:pPr>
      <w:r>
        <w:t xml:space="preserve">Meetings occurred about every six weeks. </w:t>
      </w:r>
      <w:r w:rsidRPr="00314F75">
        <w:t xml:space="preserve">The </w:t>
      </w:r>
      <w:r>
        <w:t xml:space="preserve">facilitators sent polls to invited members to determine their availability for the next meeting day and time. After the meeting date was determined, facilitators sent </w:t>
      </w:r>
      <w:r w:rsidRPr="00314F75">
        <w:t xml:space="preserve">notice </w:t>
      </w:r>
      <w:r>
        <w:t xml:space="preserve">to members at least one month before each meeting. Facilitators also encouraged members to send another representative from their organization when they could not attend meetings. </w:t>
      </w:r>
    </w:p>
    <w:tbl>
      <w:tblPr>
        <w:tblStyle w:val="TanCell"/>
        <w:tblpPr w:leftFromText="288" w:rightFromText="288" w:topFromText="144" w:bottomFromText="144" w:vertAnchor="text" w:horzAnchor="margin" w:tblpXSpec="right" w:tblpY="67"/>
        <w:tblW w:w="4500" w:type="dxa"/>
        <w:jc w:val="right"/>
        <w:tblLook w:val="04A0" w:firstRow="1" w:lastRow="0" w:firstColumn="1" w:lastColumn="0" w:noHBand="0" w:noVBand="1"/>
      </w:tblPr>
      <w:tblGrid>
        <w:gridCol w:w="4500"/>
      </w:tblGrid>
      <w:tr w:rsidR="00257E1F" w:rsidRPr="00092A5F" w14:paraId="280F7C2A" w14:textId="77777777" w:rsidTr="00257E1F">
        <w:trPr>
          <w:jc w:val="right"/>
        </w:trPr>
        <w:tc>
          <w:tcPr>
            <w:tcW w:w="5000" w:type="pct"/>
          </w:tcPr>
          <w:bookmarkEnd w:id="10"/>
          <w:p w14:paraId="53D9D208" w14:textId="77777777" w:rsidR="00257E1F" w:rsidRPr="00092A5F" w:rsidRDefault="00257E1F" w:rsidP="00257E1F">
            <w:pPr>
              <w:pStyle w:val="SidebarHead"/>
            </w:pPr>
            <w:r w:rsidRPr="00092A5F">
              <w:t>MALN member agencies</w:t>
            </w:r>
          </w:p>
          <w:p w14:paraId="665B4CED" w14:textId="77777777" w:rsidR="00257E1F" w:rsidRPr="00092A5F" w:rsidRDefault="00257E1F" w:rsidP="00257E1F">
            <w:pPr>
              <w:pStyle w:val="Sidebar"/>
            </w:pPr>
            <w:r w:rsidRPr="00092A5F">
              <w:t xml:space="preserve">The first two meetings included agency leaders from five agencies: (1) MDHS, (2) Division of Medicaid, (3) Accelerate Mississippi, (4) Department of Health, and (5) Child Protective Services. </w:t>
            </w:r>
          </w:p>
          <w:p w14:paraId="57A32000" w14:textId="77777777" w:rsidR="00257E1F" w:rsidRPr="00092A5F" w:rsidRDefault="00257E1F" w:rsidP="00257E1F">
            <w:pPr>
              <w:pStyle w:val="Sidebar"/>
            </w:pPr>
            <w:r w:rsidRPr="00092A5F">
              <w:t xml:space="preserve">The group expanded to include leadership from six additional agencies and organizations: (1) Children’s Foundation of Mississippi, (2) Community College Board, (3) Department of Corrections, (4) Department of Employment Security, (5) Department of Mental Health, and (6) Department of Rehabilitation Services. </w:t>
            </w:r>
          </w:p>
        </w:tc>
      </w:tr>
    </w:tbl>
    <w:p w14:paraId="3C902234" w14:textId="13D4FAE8" w:rsidR="00DE6FC4" w:rsidRDefault="00DE6FC4" w:rsidP="00092A5F">
      <w:pPr>
        <w:pStyle w:val="Paragraph"/>
      </w:pPr>
      <w:r w:rsidRPr="00092A5F">
        <w:rPr>
          <w:rStyle w:val="RunIn"/>
        </w:rPr>
        <w:t xml:space="preserve">MALN members largely represented state agencies. </w:t>
      </w:r>
      <w:r w:rsidRPr="00DA76A8">
        <w:t xml:space="preserve">The group has not yet expanded to include most other sectors. </w:t>
      </w:r>
      <w:r w:rsidRPr="009845A0">
        <w:t>The desired future state of the MALN is a public</w:t>
      </w:r>
      <w:r>
        <w:t>-private partnership that includes businesses, nonprofits, philanthropic organizations, and families, among other partners. However, nine out of 11 MALN agencies were state agencies and two were nonprofit organizations (</w:t>
      </w:r>
      <w:r w:rsidRPr="007F6ACB">
        <w:t>NPOs</w:t>
      </w:r>
      <w:r>
        <w:t xml:space="preserve">). MALN members have not yet invited private partners such as philanthropic organizations, businesses, or families to attend meetings. Although the group has primarily focused on connecting state agencies, the agencies represented different sectors—including, health, child protective services, and corrections. </w:t>
      </w:r>
      <w:r w:rsidRPr="00417CDB">
        <w:t xml:space="preserve">Overall, MALN members and facilitators </w:t>
      </w:r>
      <w:r>
        <w:t xml:space="preserve">said they </w:t>
      </w:r>
      <w:r w:rsidRPr="00417CDB">
        <w:t xml:space="preserve">were satisfied with the diversity of agencies in the </w:t>
      </w:r>
      <w:r>
        <w:t>MALN</w:t>
      </w:r>
      <w:r w:rsidRPr="00417CDB">
        <w:t>.</w:t>
      </w:r>
      <w:r w:rsidR="00843608">
        <w:t xml:space="preserve"> </w:t>
      </w:r>
      <w:r w:rsidRPr="004F4E67">
        <w:t xml:space="preserve">Facilitators and members mentioned </w:t>
      </w:r>
      <w:r>
        <w:t>difficulties with engaging other state agencies to join the MALN.</w:t>
      </w:r>
      <w:r w:rsidRPr="004F4E67">
        <w:t xml:space="preserve"> In one case, facilitators mentioned how a change in an </w:t>
      </w:r>
      <w:r>
        <w:t>appointed state agency</w:t>
      </w:r>
      <w:r w:rsidRPr="004F4E67">
        <w:t xml:space="preserve"> position was a challenge</w:t>
      </w:r>
      <w:r>
        <w:t>. However,</w:t>
      </w:r>
      <w:r w:rsidRPr="004F4E67">
        <w:t xml:space="preserve"> MALN members and facilitators </w:t>
      </w:r>
      <w:r>
        <w:t>did not</w:t>
      </w:r>
      <w:r w:rsidRPr="004F4E67">
        <w:t xml:space="preserve"> report any rationale on why </w:t>
      </w:r>
      <w:r>
        <w:t xml:space="preserve">other </w:t>
      </w:r>
      <w:r w:rsidRPr="004F4E67">
        <w:t xml:space="preserve">agency leaders chose not to join the MALN. </w:t>
      </w:r>
    </w:p>
    <w:p w14:paraId="007CFD76" w14:textId="4E3E6992" w:rsidR="00DE6FC4" w:rsidRDefault="00DE6FC4" w:rsidP="00092A5F">
      <w:pPr>
        <w:pStyle w:val="Paragraph"/>
      </w:pPr>
      <w:r w:rsidRPr="00092A5F">
        <w:rPr>
          <w:rStyle w:val="RunIn"/>
        </w:rPr>
        <w:t xml:space="preserve">Five MALN agencies attended more than half of the meetings, but the individuals who attended each meeting varied. </w:t>
      </w:r>
      <w:r>
        <w:t xml:space="preserve">As shown in Figure 2, of the 11 agencies or organizations in the MALN, </w:t>
      </w:r>
      <w:r w:rsidRPr="00CA0630">
        <w:t>three</w:t>
      </w:r>
      <w:r>
        <w:t xml:space="preserve"> agencies</w:t>
      </w:r>
      <w:r w:rsidRPr="00CA0630">
        <w:t xml:space="preserve"> </w:t>
      </w:r>
      <w:r>
        <w:t>were represented at</w:t>
      </w:r>
      <w:r w:rsidRPr="00CA0630">
        <w:t xml:space="preserve"> one </w:t>
      </w:r>
      <w:r>
        <w:t>or</w:t>
      </w:r>
      <w:r w:rsidRPr="00CA0630">
        <w:t xml:space="preserve"> two meetings (27</w:t>
      </w:r>
      <w:r>
        <w:t xml:space="preserve"> percent</w:t>
      </w:r>
      <w:r w:rsidRPr="00CA0630">
        <w:t xml:space="preserve">), three </w:t>
      </w:r>
      <w:r>
        <w:t>agencies were represented at</w:t>
      </w:r>
      <w:r w:rsidRPr="00CA0630">
        <w:t xml:space="preserve"> three </w:t>
      </w:r>
      <w:r>
        <w:t>or</w:t>
      </w:r>
      <w:r w:rsidRPr="00CA0630">
        <w:t xml:space="preserve"> four meetings (27</w:t>
      </w:r>
      <w:r>
        <w:t xml:space="preserve"> percent</w:t>
      </w:r>
      <w:r w:rsidRPr="00CA0630">
        <w:t xml:space="preserve">), and </w:t>
      </w:r>
      <w:r>
        <w:t>five agencies were represented at</w:t>
      </w:r>
      <w:r w:rsidRPr="00CA0630">
        <w:t xml:space="preserve"> five or more meetings (45</w:t>
      </w:r>
      <w:r>
        <w:t xml:space="preserve"> percent</w:t>
      </w:r>
      <w:r w:rsidRPr="00CA0630">
        <w:t>).</w:t>
      </w:r>
      <w:r>
        <w:t xml:space="preserve"> Although about half of the agencies (five) attended more than half of the meetings (five or more), the individual attendees varied because agency leaders sent representatives when they were unable to attend. A total of 20 members attended at least one MALN meeting between September 2022 and December 2023, with an average of six members in each meeting. </w:t>
      </w:r>
      <w:bookmarkStart w:id="11" w:name="_Hlk164929520"/>
      <w:r>
        <w:t>Of</w:t>
      </w:r>
      <w:r w:rsidRPr="00CA0630">
        <w:t xml:space="preserve"> these </w:t>
      </w:r>
      <w:r>
        <w:t>20</w:t>
      </w:r>
      <w:r w:rsidRPr="00CA0630">
        <w:t xml:space="preserve"> members, </w:t>
      </w:r>
      <w:r>
        <w:t>10 members (50 percent)</w:t>
      </w:r>
      <w:r w:rsidRPr="00CA0630">
        <w:t xml:space="preserve"> attended only one meeting, </w:t>
      </w:r>
      <w:r>
        <w:t>three members (15 percent)</w:t>
      </w:r>
      <w:r w:rsidRPr="00CA0630">
        <w:t xml:space="preserve"> attended two meetings, and </w:t>
      </w:r>
      <w:r>
        <w:t>seven members (35 percent)</w:t>
      </w:r>
      <w:r w:rsidRPr="00CA0630">
        <w:t xml:space="preserve"> attended </w:t>
      </w:r>
      <w:r>
        <w:t>three</w:t>
      </w:r>
      <w:r w:rsidRPr="00CA0630">
        <w:t xml:space="preserve"> or more meetings. </w:t>
      </w:r>
      <w:bookmarkEnd w:id="11"/>
      <w:r w:rsidRPr="00CA0630">
        <w:t xml:space="preserve">Mississippi state agency leaders </w:t>
      </w:r>
      <w:r>
        <w:t>who attended meetings included</w:t>
      </w:r>
      <w:r w:rsidRPr="00CA0630">
        <w:t xml:space="preserve"> </w:t>
      </w:r>
      <w:r>
        <w:t>e</w:t>
      </w:r>
      <w:r w:rsidRPr="00CA0630">
        <w:t xml:space="preserve">xecutive </w:t>
      </w:r>
      <w:r>
        <w:t>d</w:t>
      </w:r>
      <w:r w:rsidRPr="00CA0630">
        <w:t xml:space="preserve">irectors, </w:t>
      </w:r>
      <w:r>
        <w:t>d</w:t>
      </w:r>
      <w:r w:rsidRPr="00CA0630">
        <w:t xml:space="preserve">irectors, and </w:t>
      </w:r>
      <w:r>
        <w:t>d</w:t>
      </w:r>
      <w:r w:rsidRPr="00CA0630">
        <w:t xml:space="preserve">eputy </w:t>
      </w:r>
      <w:r>
        <w:t>d</w:t>
      </w:r>
      <w:r w:rsidRPr="00CA0630">
        <w:t>irectors.</w:t>
      </w:r>
    </w:p>
    <w:tbl>
      <w:tblPr>
        <w:tblStyle w:val="GrayCell"/>
        <w:tblpPr w:leftFromText="187" w:rightFromText="187" w:topFromText="144" w:bottomFromText="144" w:vertAnchor="text" w:horzAnchor="margin" w:tblpY="15"/>
        <w:tblW w:w="9360" w:type="dxa"/>
        <w:tblCellMar>
          <w:left w:w="0" w:type="dxa"/>
          <w:right w:w="0" w:type="dxa"/>
        </w:tblCellMar>
        <w:tblLook w:val="04A0" w:firstRow="1" w:lastRow="0" w:firstColumn="1" w:lastColumn="0" w:noHBand="0" w:noVBand="1"/>
      </w:tblPr>
      <w:tblGrid>
        <w:gridCol w:w="9360"/>
      </w:tblGrid>
      <w:tr w:rsidR="00C0308D" w:rsidRPr="00092A5F" w14:paraId="7F7A99E5" w14:textId="77777777" w:rsidTr="00D83DF9">
        <w:tc>
          <w:tcPr>
            <w:tcW w:w="5000" w:type="pct"/>
            <w:shd w:val="clear" w:color="auto" w:fill="auto"/>
          </w:tcPr>
          <w:p w14:paraId="3D53CD11" w14:textId="6950764E" w:rsidR="00C0308D" w:rsidRPr="00092A5F" w:rsidRDefault="00C0308D" w:rsidP="00067B8F">
            <w:pPr>
              <w:pStyle w:val="FigureTitle"/>
            </w:pPr>
            <w:r w:rsidRPr="00092A5F">
              <w:rPr>
                <w:b/>
                <w:bCs/>
              </w:rPr>
              <w:lastRenderedPageBreak/>
              <w:t xml:space="preserve">Figure 2. </w:t>
            </w:r>
            <w:r w:rsidRPr="00092A5F">
              <w:t>Types of participants and their attendance rates</w:t>
            </w:r>
          </w:p>
          <w:p w14:paraId="52EED0B4" w14:textId="794CEBE9" w:rsidR="00C0308D" w:rsidRPr="00092A5F" w:rsidRDefault="00D81BD3" w:rsidP="00067B8F">
            <w:pPr>
              <w:pStyle w:val="ExhibitSource"/>
              <w:jc w:val="center"/>
            </w:pPr>
            <w:r>
              <w:rPr>
                <w:noProof/>
              </w:rPr>
              <w:drawing>
                <wp:inline distT="0" distB="0" distL="0" distR="0" wp14:anchorId="170343EE" wp14:editId="00DDCD8B">
                  <wp:extent cx="4754880" cy="3035808"/>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4754880" cy="3035808"/>
                          </a:xfrm>
                          <a:prstGeom prst="rect">
                            <a:avLst/>
                          </a:prstGeom>
                        </pic:spPr>
                      </pic:pic>
                    </a:graphicData>
                  </a:graphic>
                </wp:inline>
              </w:drawing>
            </w:r>
          </w:p>
          <w:p w14:paraId="2EC966D4" w14:textId="3267192B" w:rsidR="00C0308D" w:rsidRPr="00092A5F" w:rsidRDefault="00C0308D" w:rsidP="00067B8F">
            <w:pPr>
              <w:pStyle w:val="ExhibitSource"/>
            </w:pPr>
            <w:r w:rsidRPr="00092A5F">
              <w:t xml:space="preserve">Note: </w:t>
            </w:r>
            <w:r>
              <w:tab/>
            </w:r>
            <w:r w:rsidRPr="00092A5F">
              <w:t>Attendance records reflect MALN meeting attendance between September 2022 and December 2023 and do not include APHSA facilitators, who attended every meeting. NPO stands for nonprofit organization.</w:t>
            </w:r>
          </w:p>
        </w:tc>
      </w:tr>
    </w:tbl>
    <w:p w14:paraId="5389F410" w14:textId="424FEEC3" w:rsidR="00DE6FC4" w:rsidRPr="00DA76A8" w:rsidRDefault="00DE6FC4" w:rsidP="00092A5F">
      <w:pPr>
        <w:pStyle w:val="ParagraphContinued"/>
        <w:rPr>
          <w:b/>
          <w:bCs/>
        </w:rPr>
      </w:pPr>
      <w:r w:rsidRPr="00C0308D">
        <w:rPr>
          <w:rStyle w:val="RunIn"/>
        </w:rPr>
        <w:t xml:space="preserve">Meeting attendance made it challenging for facilitators to plan and facilitate meetings. </w:t>
      </w:r>
      <w:r w:rsidRPr="008A681A">
        <w:t xml:space="preserve">Facilitators and MALN members both described challenges with meeting attendance. Facilitators </w:t>
      </w:r>
      <w:r>
        <w:t>said</w:t>
      </w:r>
      <w:r w:rsidRPr="008A681A">
        <w:t xml:space="preserve"> that attendance </w:t>
      </w:r>
      <w:r>
        <w:t>created</w:t>
      </w:r>
      <w:r w:rsidRPr="008A681A">
        <w:t xml:space="preserve"> challenge</w:t>
      </w:r>
      <w:r>
        <w:t>s</w:t>
      </w:r>
      <w:r w:rsidRPr="008A681A">
        <w:t xml:space="preserve"> </w:t>
      </w:r>
      <w:r>
        <w:t>for</w:t>
      </w:r>
      <w:r w:rsidRPr="008A681A">
        <w:t xml:space="preserve"> planning and facilitating meetings because MALN members d</w:t>
      </w:r>
      <w:r>
        <w:t>id</w:t>
      </w:r>
      <w:r w:rsidRPr="008A681A">
        <w:t xml:space="preserve"> not </w:t>
      </w:r>
      <w:r>
        <w:t xml:space="preserve">always </w:t>
      </w:r>
      <w:r w:rsidRPr="008A681A">
        <w:t xml:space="preserve">respond to meeting invites or </w:t>
      </w:r>
      <w:r>
        <w:t>say when their</w:t>
      </w:r>
      <w:r w:rsidRPr="008A681A">
        <w:t xml:space="preserve"> availability changed. </w:t>
      </w:r>
      <w:r>
        <w:t>Facilitators noted that attendance</w:t>
      </w:r>
      <w:r w:rsidRPr="008A681A">
        <w:t xml:space="preserve"> </w:t>
      </w:r>
      <w:r>
        <w:t>affected</w:t>
      </w:r>
      <w:r w:rsidRPr="008A681A">
        <w:t xml:space="preserve"> their planning </w:t>
      </w:r>
      <w:r>
        <w:t>because</w:t>
      </w:r>
      <w:r w:rsidRPr="008A681A">
        <w:t xml:space="preserve"> lower attendance mean</w:t>
      </w:r>
      <w:r>
        <w:t>t</w:t>
      </w:r>
      <w:r w:rsidRPr="008A681A">
        <w:t xml:space="preserve"> fewer members to share and discuss priorities and strategies</w:t>
      </w:r>
      <w:r>
        <w:t xml:space="preserve"> to move the work of the road map forward</w:t>
      </w:r>
      <w:r w:rsidRPr="008A681A">
        <w:t xml:space="preserve">. </w:t>
      </w:r>
    </w:p>
    <w:p w14:paraId="6E64E4C6" w14:textId="15BC0B9A" w:rsidR="00DE6FC4" w:rsidRDefault="00DE6FC4" w:rsidP="00C0308D">
      <w:pPr>
        <w:pStyle w:val="Paragraph"/>
      </w:pPr>
      <w:r w:rsidRPr="00C0308D">
        <w:rPr>
          <w:rStyle w:val="RunIn"/>
        </w:rPr>
        <w:t xml:space="preserve">Similarly, MALN members described workload and competing priorities as a challenge to attending meetings. </w:t>
      </w:r>
      <w:r>
        <w:t>Although</w:t>
      </w:r>
      <w:r w:rsidRPr="008A681A">
        <w:t xml:space="preserve"> seeing other agency and organization leaders at meetings motivated members to attend, all interviewed members shared that workload was often a barrier to attending</w:t>
      </w:r>
      <w:r>
        <w:t xml:space="preserve"> meetings. MALN members said they have many demands on their time because of their agency leadership positions, which can make it difficult to attend MALN meetings.</w:t>
      </w:r>
      <w:r w:rsidRPr="008A681A">
        <w:t xml:space="preserve"> </w:t>
      </w:r>
      <w:r>
        <w:t xml:space="preserve">One </w:t>
      </w:r>
      <w:r w:rsidRPr="008A681A">
        <w:t xml:space="preserve">member noted that </w:t>
      </w:r>
      <w:r>
        <w:t xml:space="preserve">meeting </w:t>
      </w:r>
      <w:r w:rsidRPr="008A681A">
        <w:t xml:space="preserve">attendance often </w:t>
      </w:r>
      <w:r>
        <w:t>varied.</w:t>
      </w:r>
      <w:r w:rsidRPr="008A681A">
        <w:t xml:space="preserve"> </w:t>
      </w:r>
      <w:r>
        <w:t>One</w:t>
      </w:r>
      <w:r w:rsidRPr="008A681A">
        <w:t xml:space="preserve"> member suggested </w:t>
      </w:r>
      <w:r w:rsidRPr="00877F5C">
        <w:t xml:space="preserve">that </w:t>
      </w:r>
      <w:r w:rsidRPr="00147AFF">
        <w:t>having a respected agency leader reach out to MALN members may help increase attendance at meetings</w:t>
      </w:r>
      <w:r w:rsidRPr="00877F5C">
        <w:t>.</w:t>
      </w:r>
      <w:r w:rsidRPr="008A681A">
        <w:t xml:space="preserve"> “In Mississippi, it is hard to turn down a favor,” </w:t>
      </w:r>
      <w:r>
        <w:t>the member said. T</w:t>
      </w:r>
      <w:r w:rsidRPr="008A681A">
        <w:t xml:space="preserve">hey believe that other agency leaders would be happy to do a favor when asked directly by another agency leader. </w:t>
      </w:r>
    </w:p>
    <w:p w14:paraId="2FA96D67" w14:textId="0CEBA592" w:rsidR="00DE6FC4" w:rsidRPr="00D32B59" w:rsidRDefault="00DE6FC4" w:rsidP="009C254A">
      <w:pPr>
        <w:pStyle w:val="H2"/>
      </w:pPr>
      <w:bookmarkStart w:id="12" w:name="motivate"/>
      <w:bookmarkEnd w:id="12"/>
      <w:bookmarkEnd w:id="3"/>
      <w:r>
        <w:t xml:space="preserve">What motivated members to join </w:t>
      </w:r>
      <w:r w:rsidRPr="00022A19">
        <w:t>the</w:t>
      </w:r>
      <w:r>
        <w:t xml:space="preserve"> MALN and attend meetings?</w:t>
      </w:r>
    </w:p>
    <w:p w14:paraId="11D6CA6F" w14:textId="5C864027" w:rsidR="00DE6FC4" w:rsidRDefault="00DE6FC4" w:rsidP="00CA12C8">
      <w:pPr>
        <w:pStyle w:val="ParagraphContinued"/>
      </w:pPr>
      <w:r>
        <w:t xml:space="preserve">When asked what motivated them to join the MALN and continue attending meetings, interviewed members emphasized building relationships with other members and leveraging state agency resources. </w:t>
      </w:r>
    </w:p>
    <w:p w14:paraId="7820B8C5" w14:textId="7F8B3C65" w:rsidR="00DE6FC4" w:rsidRPr="00CA12C8" w:rsidRDefault="00DE6FC4" w:rsidP="00CA12C8">
      <w:pPr>
        <w:pStyle w:val="Paragraph"/>
      </w:pPr>
      <w:bookmarkStart w:id="13" w:name="_Hlk167961772"/>
      <w:r w:rsidRPr="00CA12C8">
        <w:rPr>
          <w:rStyle w:val="RunIn"/>
        </w:rPr>
        <w:t xml:space="preserve">To build relationships with other state leaders outside times of crisis. </w:t>
      </w:r>
      <w:r w:rsidRPr="00CA12C8">
        <w:t xml:space="preserve">Although interviewed MALN members had connected with other agency leaders through past work or the governor’s cabinet, they did not routinely come together before the MALN existed unless it was a time of crisis. Members joined the </w:t>
      </w:r>
      <w:r w:rsidR="00632DAA" w:rsidRPr="00CA12C8">
        <w:rPr>
          <w:noProof/>
        </w:rPr>
        <w:lastRenderedPageBreak/>
        <mc:AlternateContent>
          <mc:Choice Requires="wps">
            <w:drawing>
              <wp:anchor distT="0" distB="0" distL="114300" distR="114300" simplePos="0" relativeHeight="251697152" behindDoc="0" locked="0" layoutInCell="1" allowOverlap="1" wp14:anchorId="4F86D356" wp14:editId="3203F9AD">
                <wp:simplePos x="0" y="0"/>
                <wp:positionH relativeFrom="margin">
                  <wp:posOffset>3067050</wp:posOffset>
                </wp:positionH>
                <wp:positionV relativeFrom="margin">
                  <wp:posOffset>47625</wp:posOffset>
                </wp:positionV>
                <wp:extent cx="2861945" cy="1400175"/>
                <wp:effectExtent l="0" t="0" r="14605" b="9525"/>
                <wp:wrapSquare wrapText="bothSides"/>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61945" cy="1400175"/>
                        </a:xfrm>
                        <a:prstGeom prst="rect">
                          <a:avLst/>
                        </a:prstGeom>
                        <a:noFill/>
                        <a:ln w="6350">
                          <a:noFill/>
                        </a:ln>
                      </wps:spPr>
                      <wps:txbx>
                        <w:txbxContent>
                          <w:p w14:paraId="13167707" w14:textId="77777777" w:rsidR="00632DAA" w:rsidRDefault="00632DAA" w:rsidP="00632DAA">
                            <w:pPr>
                              <w:pStyle w:val="NoSpacing"/>
                            </w:pPr>
                            <w:r>
                              <w:rPr>
                                <w:noProof/>
                              </w:rPr>
                              <w:drawing>
                                <wp:inline distT="0" distB="0" distL="0" distR="0" wp14:anchorId="3E1DD3B2" wp14:editId="194F1D9F">
                                  <wp:extent cx="1033272" cy="82296"/>
                                  <wp:effectExtent l="0" t="0" r="0" b="0"/>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33272" cy="82296"/>
                                          </a:xfrm>
                                          <a:prstGeom prst="rect">
                                            <a:avLst/>
                                          </a:prstGeom>
                                        </pic:spPr>
                                      </pic:pic>
                                    </a:graphicData>
                                  </a:graphic>
                                </wp:inline>
                              </w:drawing>
                            </w:r>
                          </w:p>
                          <w:p w14:paraId="5FE115FE" w14:textId="77777777" w:rsidR="00632DAA" w:rsidRPr="00C62EDF" w:rsidRDefault="00632DAA" w:rsidP="00C62EDF">
                            <w:pPr>
                              <w:pStyle w:val="Quote"/>
                            </w:pPr>
                            <w:r w:rsidRPr="00C62EDF">
                              <w:t>“Bottom line, we all serve the same clients—the population of Mississippi. [The] opportunity to work together with outside ideas is what’s driven us to [join the MALN]</w:t>
                            </w:r>
                            <w:r w:rsidRPr="00C62EDF" w:rsidDel="009704E8">
                              <w:t>.</w:t>
                            </w:r>
                            <w:r w:rsidRPr="00C62EDF">
                              <w:t>”</w:t>
                            </w:r>
                          </w:p>
                          <w:p w14:paraId="591591EE" w14:textId="77777777" w:rsidR="00632DAA" w:rsidRPr="00CB4AFF" w:rsidRDefault="00632DAA" w:rsidP="00632DAA">
                            <w:pPr>
                              <w:pStyle w:val="QuoteAttribution"/>
                            </w:pPr>
                            <w:r>
                              <w:t xml:space="preserve">  — MALN member</w:t>
                            </w:r>
                          </w:p>
                          <w:p w14:paraId="2B8C3D71" w14:textId="77777777" w:rsidR="00632DAA" w:rsidRPr="000B4AAE" w:rsidRDefault="00632DAA" w:rsidP="00632DAA">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6D356" id="Text Box 23" o:spid="_x0000_s1029" type="#_x0000_t202" alt="&quot;&quot;" style="position:absolute;margin-left:241.5pt;margin-top:3.75pt;width:225.35pt;height:110.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" filled="f" stroked="f" strokeweight=".5pt">
                <v:textbox inset="0,0,0,0">
                  <w:txbxContent>
                    <w:p w14:paraId="13167707" w14:textId="77777777" w:rsidR="00632DAA" w:rsidRDefault="00632DAA" w:rsidP="00632DAA">
                      <w:pPr>
                        <w:pStyle w:val="NoSpacing"/>
                      </w:pPr>
                      <w:r>
                        <w:rPr>
                          <w:noProof/>
                        </w:rPr>
                        <w:drawing>
                          <wp:inline distT="0" distB="0" distL="0" distR="0" wp14:anchorId="3E1DD3B2" wp14:editId="194F1D9F">
                            <wp:extent cx="1033272" cy="82296"/>
                            <wp:effectExtent l="0" t="0" r="0" b="0"/>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33272" cy="82296"/>
                                    </a:xfrm>
                                    <a:prstGeom prst="rect">
                                      <a:avLst/>
                                    </a:prstGeom>
                                  </pic:spPr>
                                </pic:pic>
                              </a:graphicData>
                            </a:graphic>
                          </wp:inline>
                        </w:drawing>
                      </w:r>
                    </w:p>
                    <w:p w14:paraId="5FE115FE" w14:textId="77777777" w:rsidR="00632DAA" w:rsidRPr="00C62EDF" w:rsidRDefault="00632DAA" w:rsidP="00C62EDF">
                      <w:pPr>
                        <w:pStyle w:val="Quote"/>
                      </w:pPr>
                      <w:r w:rsidRPr="00C62EDF">
                        <w:t>“Bottom line, we all serve the same clients—the population of Mississippi. [The] opportunity to work together with outside ideas is what’s driven us to [join the MALN]</w:t>
                      </w:r>
                      <w:r w:rsidRPr="00C62EDF" w:rsidDel="009704E8">
                        <w:t>.</w:t>
                      </w:r>
                      <w:r w:rsidRPr="00C62EDF">
                        <w:t>”</w:t>
                      </w:r>
                    </w:p>
                    <w:p w14:paraId="591591EE" w14:textId="77777777" w:rsidR="00632DAA" w:rsidRPr="00CB4AFF" w:rsidRDefault="00632DAA" w:rsidP="00632DAA">
                      <w:pPr>
                        <w:pStyle w:val="QuoteAttribution"/>
                      </w:pPr>
                      <w:r>
                        <w:t xml:space="preserve">  — MALN member</w:t>
                      </w:r>
                    </w:p>
                    <w:p w14:paraId="2B8C3D71" w14:textId="77777777" w:rsidR="00632DAA" w:rsidRPr="000B4AAE" w:rsidRDefault="00632DAA" w:rsidP="00632DAA">
                      <w:pPr>
                        <w:pStyle w:val="NoSpacing"/>
                      </w:pPr>
                    </w:p>
                  </w:txbxContent>
                </v:textbox>
                <w10:wrap type="square" anchorx="margin" anchory="margin"/>
              </v:shape>
            </w:pict>
          </mc:Fallback>
        </mc:AlternateContent>
      </w:r>
      <w:r w:rsidRPr="00CA12C8">
        <w:t>MALN as an opportunity to build relationships with other agency leaders and because they were interested in working together to better serve Mississippians. One MALN member noted the MALN allowed them to have conversations with other agencies focused on helping their clients, “without trying to get after one specific problem.”</w:t>
      </w:r>
    </w:p>
    <w:p w14:paraId="1A5D6377" w14:textId="6A15D4BB" w:rsidR="00DE6FC4" w:rsidRDefault="00632DAA" w:rsidP="00CA12C8">
      <w:pPr>
        <w:pStyle w:val="Paragraph"/>
      </w:pPr>
      <w:r w:rsidRPr="00CA12C8">
        <w:rPr>
          <w:noProof/>
        </w:rPr>
        <mc:AlternateContent>
          <mc:Choice Requires="wps">
            <w:drawing>
              <wp:anchor distT="91440" distB="0" distL="114300" distR="114300" simplePos="0" relativeHeight="251699200" behindDoc="0" locked="0" layoutInCell="1" allowOverlap="1" wp14:anchorId="47115EEA" wp14:editId="43DF571F">
                <wp:simplePos x="0" y="0"/>
                <wp:positionH relativeFrom="margin">
                  <wp:posOffset>3067050</wp:posOffset>
                </wp:positionH>
                <wp:positionV relativeFrom="margin">
                  <wp:posOffset>2447290</wp:posOffset>
                </wp:positionV>
                <wp:extent cx="2862072" cy="996696"/>
                <wp:effectExtent l="0" t="0" r="14605" b="13335"/>
                <wp:wrapSquare wrapText="bothSides"/>
                <wp:docPr id="68" name="Text Box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62072" cy="996696"/>
                        </a:xfrm>
                        <a:prstGeom prst="rect">
                          <a:avLst/>
                        </a:prstGeom>
                        <a:noFill/>
                        <a:ln w="6350">
                          <a:noFill/>
                        </a:ln>
                      </wps:spPr>
                      <wps:txbx>
                        <w:txbxContent>
                          <w:p w14:paraId="46BE3C4C" w14:textId="77777777" w:rsidR="00632DAA" w:rsidRDefault="00632DAA" w:rsidP="00632DAA">
                            <w:pPr>
                              <w:pStyle w:val="NoSpacing"/>
                            </w:pPr>
                            <w:r>
                              <w:rPr>
                                <w:noProof/>
                              </w:rPr>
                              <w:drawing>
                                <wp:inline distT="0" distB="0" distL="0" distR="0" wp14:anchorId="2C28FB8C" wp14:editId="3B47014D">
                                  <wp:extent cx="1033272" cy="82296"/>
                                  <wp:effectExtent l="0" t="0" r="0" b="0"/>
                                  <wp:docPr id="69" name="Graphic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33272" cy="82296"/>
                                          </a:xfrm>
                                          <a:prstGeom prst="rect">
                                            <a:avLst/>
                                          </a:prstGeom>
                                        </pic:spPr>
                                      </pic:pic>
                                    </a:graphicData>
                                  </a:graphic>
                                </wp:inline>
                              </w:drawing>
                            </w:r>
                          </w:p>
                          <w:p w14:paraId="0B1C06C1" w14:textId="768462A6" w:rsidR="00632DAA" w:rsidRPr="00C62EDF" w:rsidRDefault="00632DAA" w:rsidP="00C62EDF">
                            <w:pPr>
                              <w:pStyle w:val="Quote"/>
                            </w:pPr>
                            <w:r w:rsidRPr="00C62EDF">
                              <w:t>“The only way that we’re going to be able to serve the population the way [they] deserve is for us to pull together.”</w:t>
                            </w:r>
                          </w:p>
                          <w:p w14:paraId="4D3BD71B" w14:textId="77777777" w:rsidR="00632DAA" w:rsidRPr="00CB4AFF" w:rsidRDefault="00632DAA" w:rsidP="00632DAA">
                            <w:pPr>
                              <w:pStyle w:val="QuoteAttribution"/>
                            </w:pPr>
                            <w:r>
                              <w:t xml:space="preserve">  — MALN member</w:t>
                            </w:r>
                          </w:p>
                          <w:p w14:paraId="0BB7FB1B" w14:textId="77777777" w:rsidR="00632DAA" w:rsidRPr="000B4AAE" w:rsidRDefault="00632DAA" w:rsidP="00632DAA">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15EEA" id="Text Box 68" o:spid="_x0000_s1030" type="#_x0000_t202" alt="&quot;&quot;" style="position:absolute;margin-left:241.5pt;margin-top:192.7pt;width:225.35pt;height:78.5pt;z-index:251699200;visibility:visible;mso-wrap-style:square;mso-width-percent:0;mso-height-percent:0;mso-wrap-distance-left:9pt;mso-wrap-distance-top:7.2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" filled="f" stroked="f" strokeweight=".5pt">
                <v:textbox inset="0,0,0,0">
                  <w:txbxContent>
                    <w:p w14:paraId="46BE3C4C" w14:textId="77777777" w:rsidR="00632DAA" w:rsidRDefault="00632DAA" w:rsidP="00632DAA">
                      <w:pPr>
                        <w:pStyle w:val="NoSpacing"/>
                      </w:pPr>
                      <w:r>
                        <w:rPr>
                          <w:noProof/>
                        </w:rPr>
                        <w:drawing>
                          <wp:inline distT="0" distB="0" distL="0" distR="0" wp14:anchorId="2C28FB8C" wp14:editId="3B47014D">
                            <wp:extent cx="1033272" cy="82296"/>
                            <wp:effectExtent l="0" t="0" r="0" b="0"/>
                            <wp:docPr id="69" name="Graphic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33272" cy="82296"/>
                                    </a:xfrm>
                                    <a:prstGeom prst="rect">
                                      <a:avLst/>
                                    </a:prstGeom>
                                  </pic:spPr>
                                </pic:pic>
                              </a:graphicData>
                            </a:graphic>
                          </wp:inline>
                        </w:drawing>
                      </w:r>
                    </w:p>
                    <w:p w14:paraId="0B1C06C1" w14:textId="768462A6" w:rsidR="00632DAA" w:rsidRPr="00C62EDF" w:rsidRDefault="00632DAA" w:rsidP="00C62EDF">
                      <w:pPr>
                        <w:pStyle w:val="Quote"/>
                      </w:pPr>
                      <w:r w:rsidRPr="00C62EDF">
                        <w:t>“The only way that we’re going to be able to serve the population the way [they] deserve is for us to pull together.”</w:t>
                      </w:r>
                    </w:p>
                    <w:p w14:paraId="4D3BD71B" w14:textId="77777777" w:rsidR="00632DAA" w:rsidRPr="00CB4AFF" w:rsidRDefault="00632DAA" w:rsidP="00632DAA">
                      <w:pPr>
                        <w:pStyle w:val="QuoteAttribution"/>
                      </w:pPr>
                      <w:r>
                        <w:t xml:space="preserve">  — MALN member</w:t>
                      </w:r>
                    </w:p>
                    <w:p w14:paraId="0BB7FB1B" w14:textId="77777777" w:rsidR="00632DAA" w:rsidRPr="000B4AAE" w:rsidRDefault="00632DAA" w:rsidP="00632DAA">
                      <w:pPr>
                        <w:pStyle w:val="NoSpacing"/>
                      </w:pPr>
                    </w:p>
                  </w:txbxContent>
                </v:textbox>
                <w10:wrap type="square" anchorx="margin" anchory="margin"/>
              </v:shape>
            </w:pict>
          </mc:Fallback>
        </mc:AlternateContent>
      </w:r>
      <w:r w:rsidR="00DE6FC4" w:rsidRPr="00CA12C8">
        <w:rPr>
          <w:rStyle w:val="RunIn"/>
        </w:rPr>
        <w:t xml:space="preserve">To leverage and align resources with other state agencies and organizations. </w:t>
      </w:r>
      <w:r w:rsidR="00DE6FC4">
        <w:t>Before joining the MALN, interviewed members reported working in silos. They said that they joined the MALN to share resources across agencies and to discuss priorities in one venue. Facilitators also reported that agencies often provided similar services to communities without considering ways to collaborate or share resources. One member said no Mississippi agency had enough resources to serve all its clients without the support of other agencies. Several members highlighted the overlap in clients across agencies, which made it necessary for leaders to work together.</w:t>
      </w:r>
      <w:r w:rsidR="00DE6FC4" w:rsidRPr="003E70DB">
        <w:t xml:space="preserve"> </w:t>
      </w:r>
      <w:r w:rsidR="00DE6FC4">
        <w:t>One member</w:t>
      </w:r>
      <w:r w:rsidR="00DE6FC4" w:rsidRPr="003E70DB">
        <w:t xml:space="preserve"> shared that MALN meeting</w:t>
      </w:r>
      <w:r w:rsidR="00DE6FC4">
        <w:t>s</w:t>
      </w:r>
      <w:r w:rsidR="00DE6FC4" w:rsidRPr="003E70DB">
        <w:t xml:space="preserve"> allow</w:t>
      </w:r>
      <w:r w:rsidR="00DE6FC4">
        <w:t>ed</w:t>
      </w:r>
      <w:r w:rsidR="00DE6FC4" w:rsidRPr="003E70DB">
        <w:t xml:space="preserve"> them to maximize </w:t>
      </w:r>
      <w:r w:rsidR="00DE6FC4">
        <w:t xml:space="preserve">their </w:t>
      </w:r>
      <w:r w:rsidR="00DE6FC4" w:rsidRPr="003E70DB">
        <w:t>interactions with</w:t>
      </w:r>
      <w:r w:rsidR="00DE6FC4">
        <w:t xml:space="preserve"> other MALN</w:t>
      </w:r>
      <w:r w:rsidR="00DE6FC4" w:rsidRPr="003E70DB">
        <w:t xml:space="preserve"> members rather than meeting separately with each agency.</w:t>
      </w:r>
    </w:p>
    <w:p w14:paraId="0BBD967D" w14:textId="3811EDE0" w:rsidR="00DE6FC4" w:rsidRDefault="00DE6FC4" w:rsidP="00CA12C8">
      <w:pPr>
        <w:pStyle w:val="Paragraph"/>
      </w:pPr>
      <w:r w:rsidRPr="00CA12C8">
        <w:rPr>
          <w:rStyle w:val="RunIn"/>
        </w:rPr>
        <w:t xml:space="preserve">To share and learn from other agencies and spur innovation. </w:t>
      </w:r>
      <w:r>
        <w:t>Interviewed members</w:t>
      </w:r>
      <w:r w:rsidRPr="00CF2672">
        <w:t xml:space="preserve"> reported </w:t>
      </w:r>
      <w:r>
        <w:t>that</w:t>
      </w:r>
      <w:r w:rsidRPr="00CF2672">
        <w:t xml:space="preserve"> having several agencies and </w:t>
      </w:r>
      <w:r>
        <w:t>organizations</w:t>
      </w:r>
      <w:r w:rsidRPr="00CF2672">
        <w:t xml:space="preserve"> at </w:t>
      </w:r>
      <w:r>
        <w:t xml:space="preserve">MALN </w:t>
      </w:r>
      <w:r w:rsidRPr="00CF2672">
        <w:t>meeting</w:t>
      </w:r>
      <w:r>
        <w:t>s</w:t>
      </w:r>
      <w:r w:rsidRPr="00CF2672">
        <w:t xml:space="preserve"> allowed their agency the chance to </w:t>
      </w:r>
      <w:r>
        <w:t>share their work</w:t>
      </w:r>
      <w:r w:rsidRPr="00CF2672">
        <w:t xml:space="preserve"> </w:t>
      </w:r>
      <w:r w:rsidRPr="008B2D82">
        <w:t xml:space="preserve">and learn </w:t>
      </w:r>
      <w:r>
        <w:t xml:space="preserve">about </w:t>
      </w:r>
      <w:r w:rsidRPr="008B2D82">
        <w:t xml:space="preserve">innovations </w:t>
      </w:r>
      <w:r w:rsidRPr="001758EA">
        <w:t>based on others’ work. One MALN member said the meetings helped them stimulate their strategic thinking, look at areas of</w:t>
      </w:r>
      <w:r w:rsidRPr="001B395A">
        <w:t xml:space="preserve"> innovation that their agency</w:t>
      </w:r>
      <w:r>
        <w:t xml:space="preserve"> could</w:t>
      </w:r>
      <w:r w:rsidRPr="001B395A">
        <w:t xml:space="preserve"> take advantage of</w:t>
      </w:r>
      <w:r>
        <w:t>,</w:t>
      </w:r>
      <w:r w:rsidRPr="001B395A">
        <w:t xml:space="preserve"> and </w:t>
      </w:r>
      <w:r>
        <w:t>“</w:t>
      </w:r>
      <w:r w:rsidRPr="001B395A">
        <w:t>help eliminate</w:t>
      </w:r>
      <w:r w:rsidRPr="00CF2672">
        <w:t xml:space="preserve"> some blind spots.”</w:t>
      </w:r>
    </w:p>
    <w:p w14:paraId="0342ED1D" w14:textId="1625308D" w:rsidR="00DE6FC4" w:rsidRPr="008C6513" w:rsidRDefault="00E97A25" w:rsidP="00632DAA">
      <w:pPr>
        <w:pStyle w:val="H1"/>
      </w:pPr>
      <w:bookmarkStart w:id="14" w:name="section4"/>
      <w:bookmarkEnd w:id="13"/>
      <w:bookmarkEnd w:id="14"/>
      <w:r>
        <w:t>IV.</w:t>
      </w:r>
      <w:r>
        <w:tab/>
      </w:r>
      <w:r w:rsidR="00DE6FC4">
        <w:t>How did sharing and learning occur during meetings?</w:t>
      </w:r>
    </w:p>
    <w:p w14:paraId="398F31C0" w14:textId="7D0A66CB" w:rsidR="00DE6FC4" w:rsidRDefault="00632DAA" w:rsidP="00632DAA">
      <w:pPr>
        <w:pStyle w:val="ParagraphContinued"/>
      </w:pPr>
      <w:r w:rsidRPr="00283A2E">
        <w:rPr>
          <w:noProof/>
        </w:rPr>
        <mc:AlternateContent>
          <mc:Choice Requires="wps">
            <w:drawing>
              <wp:anchor distT="0" distB="0" distL="114300" distR="114300" simplePos="0" relativeHeight="251675648" behindDoc="0" locked="0" layoutInCell="1" allowOverlap="1" wp14:anchorId="57DD8E1F" wp14:editId="68E1E9F2">
                <wp:simplePos x="0" y="0"/>
                <wp:positionH relativeFrom="margin">
                  <wp:align>right</wp:align>
                </wp:positionH>
                <wp:positionV relativeFrom="paragraph">
                  <wp:posOffset>136525</wp:posOffset>
                </wp:positionV>
                <wp:extent cx="2953385" cy="1409700"/>
                <wp:effectExtent l="0" t="0" r="0" b="0"/>
                <wp:wrapSquare wrapText="bothSides"/>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53385" cy="1409700"/>
                        </a:xfrm>
                        <a:prstGeom prst="rect">
                          <a:avLst/>
                        </a:prstGeom>
                        <a:noFill/>
                        <a:ln w="6350">
                          <a:noFill/>
                        </a:ln>
                      </wps:spPr>
                      <wps:txbx>
                        <w:txbxContent>
                          <w:p w14:paraId="092935DF" w14:textId="77777777" w:rsidR="00DE6FC4" w:rsidRDefault="00DE6FC4" w:rsidP="00DE6FC4">
                            <w:pPr>
                              <w:pStyle w:val="NoSpacing"/>
                            </w:pPr>
                            <w:r>
                              <w:rPr>
                                <w:noProof/>
                              </w:rPr>
                              <w:drawing>
                                <wp:inline distT="0" distB="0" distL="0" distR="0" wp14:anchorId="1F35EB7D" wp14:editId="7297CE08">
                                  <wp:extent cx="1033272" cy="82296"/>
                                  <wp:effectExtent l="0" t="0" r="0" b="0"/>
                                  <wp:docPr id="67" name="Graphic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33272" cy="82296"/>
                                          </a:xfrm>
                                          <a:prstGeom prst="rect">
                                            <a:avLst/>
                                          </a:prstGeom>
                                        </pic:spPr>
                                      </pic:pic>
                                    </a:graphicData>
                                  </a:graphic>
                                </wp:inline>
                              </w:drawing>
                            </w:r>
                          </w:p>
                          <w:p w14:paraId="0D0451A1" w14:textId="77777777" w:rsidR="00DE6FC4" w:rsidRPr="00C62EDF" w:rsidRDefault="00DE6FC4" w:rsidP="00C62EDF">
                            <w:pPr>
                              <w:pStyle w:val="Quote"/>
                            </w:pPr>
                            <w:r w:rsidRPr="00C62EDF">
                              <w:t xml:space="preserve">“It hasn’t just been sugarcoating and showing your best Sunday suit. It’s getting real about the challenges [we face] providing the good services our people need and deserve in a state with a low income.” </w:t>
                            </w:r>
                          </w:p>
                          <w:p w14:paraId="79BC4801" w14:textId="4238C896" w:rsidR="00DE6FC4" w:rsidRPr="00CB4AFF" w:rsidRDefault="00632DAA" w:rsidP="00DE6FC4">
                            <w:pPr>
                              <w:pStyle w:val="QuoteAttribution"/>
                            </w:pPr>
                            <w:r>
                              <w:t xml:space="preserve"> — </w:t>
                            </w:r>
                            <w:r w:rsidR="00DE6FC4">
                              <w:t>MALN member</w:t>
                            </w:r>
                          </w:p>
                          <w:p w14:paraId="4723493F" w14:textId="77777777" w:rsidR="00DE6FC4" w:rsidRPr="000B4AAE" w:rsidRDefault="00DE6FC4" w:rsidP="00DE6FC4">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D8E1F" id="Text Box 7" o:spid="_x0000_s1031" type="#_x0000_t202" alt="&quot;&quot;" style="position:absolute;margin-left:181.35pt;margin-top:10.75pt;width:232.55pt;height:111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" filled="f" stroked="f" strokeweight=".5pt">
                <v:textbox inset="0,0,0,0">
                  <w:txbxContent>
                    <w:p w14:paraId="092935DF" w14:textId="77777777" w:rsidR="00DE6FC4" w:rsidRDefault="00DE6FC4" w:rsidP="00DE6FC4">
                      <w:pPr>
                        <w:pStyle w:val="NoSpacing"/>
                      </w:pPr>
                      <w:r>
                        <w:rPr>
                          <w:noProof/>
                        </w:rPr>
                        <w:drawing>
                          <wp:inline distT="0" distB="0" distL="0" distR="0" wp14:anchorId="1F35EB7D" wp14:editId="7297CE08">
                            <wp:extent cx="1033272" cy="82296"/>
                            <wp:effectExtent l="0" t="0" r="0" b="0"/>
                            <wp:docPr id="67" name="Graphic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33272" cy="82296"/>
                                    </a:xfrm>
                                    <a:prstGeom prst="rect">
                                      <a:avLst/>
                                    </a:prstGeom>
                                  </pic:spPr>
                                </pic:pic>
                              </a:graphicData>
                            </a:graphic>
                          </wp:inline>
                        </w:drawing>
                      </w:r>
                    </w:p>
                    <w:p w14:paraId="0D0451A1" w14:textId="77777777" w:rsidR="00DE6FC4" w:rsidRPr="00C62EDF" w:rsidRDefault="00DE6FC4" w:rsidP="00C62EDF">
                      <w:pPr>
                        <w:pStyle w:val="Quote"/>
                      </w:pPr>
                      <w:r w:rsidRPr="00C62EDF">
                        <w:t xml:space="preserve">“It hasn’t just been sugarcoating and showing your best Sunday suit. It’s getting real about the challenges [we face] providing the good services our people need and deserve in a state with a low income.” </w:t>
                      </w:r>
                    </w:p>
                    <w:p w14:paraId="79BC4801" w14:textId="4238C896" w:rsidR="00DE6FC4" w:rsidRPr="00CB4AFF" w:rsidRDefault="00632DAA" w:rsidP="00DE6FC4">
                      <w:pPr>
                        <w:pStyle w:val="QuoteAttribution"/>
                      </w:pPr>
                      <w:r>
                        <w:t xml:space="preserve"> — </w:t>
                      </w:r>
                      <w:r w:rsidR="00DE6FC4">
                        <w:t>MALN member</w:t>
                      </w:r>
                    </w:p>
                    <w:p w14:paraId="4723493F" w14:textId="77777777" w:rsidR="00DE6FC4" w:rsidRPr="000B4AAE" w:rsidRDefault="00DE6FC4" w:rsidP="00DE6FC4">
                      <w:pPr>
                        <w:pStyle w:val="NoSpacing"/>
                      </w:pPr>
                    </w:p>
                  </w:txbxContent>
                </v:textbox>
                <w10:wrap type="square" anchorx="margin"/>
              </v:shape>
            </w:pict>
          </mc:Fallback>
        </mc:AlternateContent>
      </w:r>
      <w:r w:rsidR="00DE6FC4" w:rsidRPr="00314F75">
        <w:t xml:space="preserve">MALN meetings provided a space for members to share best practices, innovations, and solutions with each other in real time and to work toward </w:t>
      </w:r>
      <w:r w:rsidR="00DE6FC4">
        <w:t>the goals in their</w:t>
      </w:r>
      <w:r w:rsidR="00DE6FC4" w:rsidRPr="00314F75">
        <w:t xml:space="preserve"> road</w:t>
      </w:r>
      <w:r w:rsidR="00DE6FC4">
        <w:t xml:space="preserve"> </w:t>
      </w:r>
      <w:r w:rsidR="00DE6FC4" w:rsidRPr="00314F75">
        <w:t>map. Each meeting was</w:t>
      </w:r>
      <w:r w:rsidR="00DE6FC4">
        <w:t xml:space="preserve"> in person,</w:t>
      </w:r>
      <w:r w:rsidR="00DE6FC4" w:rsidRPr="00314F75">
        <w:t xml:space="preserve"> typically </w:t>
      </w:r>
      <w:r w:rsidR="00DE6FC4">
        <w:t xml:space="preserve">for </w:t>
      </w:r>
      <w:r w:rsidR="00DE6FC4" w:rsidRPr="00314F75">
        <w:t>two hours</w:t>
      </w:r>
      <w:r w:rsidR="00DE6FC4">
        <w:t>,</w:t>
      </w:r>
      <w:r w:rsidR="00DE6FC4" w:rsidRPr="00314F75">
        <w:t xml:space="preserve"> and regularly included time for members to share updates on programs and services, challenges, opportunities for collaboration, and upcoming events. Facilitators </w:t>
      </w:r>
      <w:r w:rsidR="00DE6FC4">
        <w:t>often discussed</w:t>
      </w:r>
      <w:r w:rsidR="00DE6FC4" w:rsidRPr="00314F75">
        <w:t xml:space="preserve"> a key topic of interest to members, sometimes </w:t>
      </w:r>
      <w:r w:rsidR="00DE6FC4">
        <w:t>inviting</w:t>
      </w:r>
      <w:r w:rsidR="00DE6FC4" w:rsidRPr="00314F75">
        <w:t xml:space="preserve"> an outside speaker</w:t>
      </w:r>
      <w:r w:rsidR="00DE6FC4">
        <w:t>.</w:t>
      </w:r>
      <w:r w:rsidR="00DE6FC4" w:rsidRPr="00314F75">
        <w:t xml:space="preserve"> </w:t>
      </w:r>
      <w:r w:rsidR="00DE6FC4">
        <w:t>T</w:t>
      </w:r>
      <w:r w:rsidR="00DE6FC4" w:rsidRPr="00314F75">
        <w:t>he</w:t>
      </w:r>
      <w:r w:rsidR="00DE6FC4">
        <w:t>y also reviewed the</w:t>
      </w:r>
      <w:r w:rsidR="00DE6FC4" w:rsidRPr="00314F75">
        <w:t xml:space="preserve"> MALN road</w:t>
      </w:r>
      <w:r w:rsidR="00DE6FC4">
        <w:t xml:space="preserve"> </w:t>
      </w:r>
      <w:r w:rsidR="00DE6FC4" w:rsidRPr="00314F75">
        <w:t xml:space="preserve">map and priorities in some meetings. Depending </w:t>
      </w:r>
      <w:r w:rsidR="00DE6FC4">
        <w:t>up</w:t>
      </w:r>
      <w:r w:rsidR="00DE6FC4" w:rsidRPr="00314F75">
        <w:t xml:space="preserve">on the conversation, facilitators sometimes shared handouts or </w:t>
      </w:r>
      <w:r w:rsidR="00DE6FC4">
        <w:t xml:space="preserve">other </w:t>
      </w:r>
      <w:r w:rsidR="00DE6FC4" w:rsidRPr="00314F75">
        <w:t>resources</w:t>
      </w:r>
      <w:r w:rsidR="00DE6FC4">
        <w:t>.</w:t>
      </w:r>
      <w:r w:rsidR="00DE6FC4" w:rsidRPr="00314F75">
        <w:t xml:space="preserve"> </w:t>
      </w:r>
      <w:r w:rsidR="00DE6FC4">
        <w:t>M</w:t>
      </w:r>
      <w:r w:rsidR="00DE6FC4" w:rsidRPr="00314F75">
        <w:t>eeting</w:t>
      </w:r>
      <w:r w:rsidR="00DE6FC4">
        <w:t>s</w:t>
      </w:r>
      <w:r w:rsidR="00DE6FC4" w:rsidRPr="00314F75">
        <w:t xml:space="preserve"> </w:t>
      </w:r>
      <w:r w:rsidR="00DE6FC4">
        <w:t xml:space="preserve">often </w:t>
      </w:r>
      <w:r w:rsidR="00DE6FC4" w:rsidRPr="00314F75">
        <w:t>close</w:t>
      </w:r>
      <w:r w:rsidR="00DE6FC4">
        <w:t>d</w:t>
      </w:r>
      <w:r w:rsidR="00DE6FC4" w:rsidRPr="00314F75">
        <w:t xml:space="preserve"> with identifying agenda items for the next meeting.</w:t>
      </w:r>
      <w:r w:rsidR="00DE6FC4">
        <w:t xml:space="preserve"> Agenda topics included </w:t>
      </w:r>
      <w:r w:rsidR="00DE6FC4" w:rsidRPr="00EB4AC7">
        <w:t>the use of TANF funding for transportation, personnel boards, and civil service salaries.</w:t>
      </w:r>
      <w:r w:rsidR="00DE6FC4">
        <w:t xml:space="preserve"> </w:t>
      </w:r>
    </w:p>
    <w:p w14:paraId="47CAF55D" w14:textId="6078DDCF" w:rsidR="00A03104" w:rsidRDefault="00DE6FC4" w:rsidP="00632DAA">
      <w:pPr>
        <w:pStyle w:val="Paragraph"/>
      </w:pPr>
      <w:r>
        <w:t xml:space="preserve">Interviewed </w:t>
      </w:r>
      <w:r w:rsidRPr="00CE7E91">
        <w:t xml:space="preserve">MALN members </w:t>
      </w:r>
      <w:r>
        <w:t>said they were</w:t>
      </w:r>
      <w:r w:rsidRPr="00CE7E91">
        <w:t xml:space="preserve"> satisfied with the amount of sharing and learning occurring in meetings</w:t>
      </w:r>
      <w:r>
        <w:t xml:space="preserve"> and did not mention any barriers to sharing and learning. One member noted, however, that </w:t>
      </w:r>
      <w:r>
        <w:lastRenderedPageBreak/>
        <w:t xml:space="preserve">takeaways shared from previous meetings were sometimes limited and did not capture the full content of the meeting. </w:t>
      </w:r>
    </w:p>
    <w:p w14:paraId="1C8B3BA6" w14:textId="77777777" w:rsidR="00DE6FC4" w:rsidRDefault="00DE6FC4" w:rsidP="00E97A25">
      <w:pPr>
        <w:pStyle w:val="H2"/>
      </w:pPr>
      <w:bookmarkStart w:id="15" w:name="helped"/>
      <w:bookmarkEnd w:id="15"/>
      <w:r>
        <w:t>What helped members share and learn during meetings?</w:t>
      </w:r>
    </w:p>
    <w:p w14:paraId="511B0231" w14:textId="15C1F502" w:rsidR="00637EBB" w:rsidRPr="00D81BD3" w:rsidRDefault="00637EBB" w:rsidP="00202BC4">
      <w:pPr>
        <w:pStyle w:val="ParagraphContinued"/>
        <w:rPr>
          <w:rStyle w:val="RunIn"/>
          <w:b w:val="0"/>
          <w:bCs/>
        </w:rPr>
      </w:pPr>
      <w:r w:rsidRPr="00D81BD3">
        <w:rPr>
          <w:rStyle w:val="RunIn"/>
          <w:b w:val="0"/>
          <w:bCs/>
        </w:rPr>
        <w:t>In interviews, MALN members discussed what helped them share and learn during MALN meetings.</w:t>
      </w:r>
    </w:p>
    <w:p w14:paraId="247C076E" w14:textId="17DB3F60" w:rsidR="00DE6FC4" w:rsidRPr="00D74785" w:rsidRDefault="00DE6FC4" w:rsidP="00202BC4">
      <w:pPr>
        <w:pStyle w:val="ParagraphContinued"/>
        <w:rPr>
          <w:b/>
          <w:bCs/>
        </w:rPr>
      </w:pPr>
      <w:r w:rsidRPr="00202BC4">
        <w:rPr>
          <w:rStyle w:val="RunIn"/>
        </w:rPr>
        <w:t xml:space="preserve">Meeting in person fostered trust between members. </w:t>
      </w:r>
      <w:r>
        <w:t xml:space="preserve">Both facilitators and interviewed members noted the importance of in-person meetings, which allowed </w:t>
      </w:r>
      <w:r w:rsidRPr="002838E4">
        <w:t xml:space="preserve">members to </w:t>
      </w:r>
      <w:r>
        <w:t xml:space="preserve">build an atmosphere of trust. </w:t>
      </w:r>
      <w:r w:rsidRPr="00A72BA1">
        <w:t xml:space="preserve">Facilitators </w:t>
      </w:r>
      <w:r>
        <w:t>said</w:t>
      </w:r>
      <w:r w:rsidRPr="00A72BA1">
        <w:t xml:space="preserve"> that face-to-face conversations </w:t>
      </w:r>
      <w:r>
        <w:t>were</w:t>
      </w:r>
      <w:r w:rsidRPr="00A72BA1">
        <w:t xml:space="preserve"> crucial </w:t>
      </w:r>
      <w:r>
        <w:t>for</w:t>
      </w:r>
      <w:r w:rsidRPr="00A72BA1">
        <w:t xml:space="preserve"> allow</w:t>
      </w:r>
      <w:r>
        <w:t>ing</w:t>
      </w:r>
      <w:r w:rsidRPr="00A72BA1">
        <w:t xml:space="preserve"> members to be vulnerable</w:t>
      </w:r>
      <w:r>
        <w:t>,</w:t>
      </w:r>
      <w:r w:rsidRPr="00A72BA1">
        <w:t xml:space="preserve"> </w:t>
      </w:r>
      <w:r>
        <w:t xml:space="preserve">fully engage in conversations </w:t>
      </w:r>
      <w:r w:rsidRPr="00A72BA1">
        <w:t xml:space="preserve">about </w:t>
      </w:r>
      <w:r>
        <w:t xml:space="preserve">their </w:t>
      </w:r>
      <w:r w:rsidRPr="00A72BA1">
        <w:t>challenges</w:t>
      </w:r>
      <w:r>
        <w:t>,</w:t>
      </w:r>
      <w:r w:rsidRPr="00A72BA1">
        <w:t xml:space="preserve"> and </w:t>
      </w:r>
      <w:r w:rsidRPr="001758EA">
        <w:t xml:space="preserve">learn from </w:t>
      </w:r>
      <w:r>
        <w:t xml:space="preserve">each </w:t>
      </w:r>
      <w:r w:rsidRPr="001758EA">
        <w:t xml:space="preserve">other outside of their </w:t>
      </w:r>
      <w:r w:rsidRPr="00DA76A8">
        <w:t>daily</w:t>
      </w:r>
      <w:r w:rsidRPr="001758EA">
        <w:t xml:space="preserve"> work. APHSA also</w:t>
      </w:r>
      <w:r>
        <w:t xml:space="preserve"> provided breakfast or lunch at meetings, which gave members time to informally connect and continue to build relationships. </w:t>
      </w:r>
    </w:p>
    <w:p w14:paraId="4535BC4F" w14:textId="77777777" w:rsidR="00DE6FC4" w:rsidRPr="001F51A2" w:rsidRDefault="00DE6FC4" w:rsidP="00202BC4">
      <w:pPr>
        <w:pStyle w:val="Paragraph"/>
      </w:pPr>
      <w:r w:rsidRPr="00202BC4">
        <w:rPr>
          <w:rStyle w:val="RunIn"/>
          <w:noProof/>
        </w:rPr>
        <mc:AlternateContent>
          <mc:Choice Requires="wps">
            <w:drawing>
              <wp:anchor distT="0" distB="0" distL="114300" distR="114300" simplePos="0" relativeHeight="251687936" behindDoc="0" locked="0" layoutInCell="1" allowOverlap="1" wp14:anchorId="09B17C63" wp14:editId="215D35CC">
                <wp:simplePos x="0" y="0"/>
                <wp:positionH relativeFrom="margin">
                  <wp:align>right</wp:align>
                </wp:positionH>
                <wp:positionV relativeFrom="paragraph">
                  <wp:posOffset>70485</wp:posOffset>
                </wp:positionV>
                <wp:extent cx="3017520" cy="1627632"/>
                <wp:effectExtent l="0" t="0" r="11430" b="10795"/>
                <wp:wrapSquare wrapText="bothSides"/>
                <wp:docPr id="24" name="Text Box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17520" cy="1627632"/>
                        </a:xfrm>
                        <a:prstGeom prst="rect">
                          <a:avLst/>
                        </a:prstGeom>
                        <a:noFill/>
                        <a:ln w="6350">
                          <a:noFill/>
                        </a:ln>
                      </wps:spPr>
                      <wps:txbx>
                        <w:txbxContent>
                          <w:p w14:paraId="44C80EE1" w14:textId="77777777" w:rsidR="00DE6FC4" w:rsidRDefault="00DE6FC4" w:rsidP="00DE6FC4">
                            <w:pPr>
                              <w:pStyle w:val="NoSpacing"/>
                            </w:pPr>
                            <w:r>
                              <w:rPr>
                                <w:noProof/>
                              </w:rPr>
                              <w:drawing>
                                <wp:inline distT="0" distB="0" distL="0" distR="0" wp14:anchorId="050713BA" wp14:editId="7B8C77DF">
                                  <wp:extent cx="1033272" cy="82296"/>
                                  <wp:effectExtent l="0" t="0" r="0" b="0"/>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33272" cy="82296"/>
                                          </a:xfrm>
                                          <a:prstGeom prst="rect">
                                            <a:avLst/>
                                          </a:prstGeom>
                                        </pic:spPr>
                                      </pic:pic>
                                    </a:graphicData>
                                  </a:graphic>
                                </wp:inline>
                              </w:drawing>
                            </w:r>
                          </w:p>
                          <w:p w14:paraId="49EF9EE3" w14:textId="77777777" w:rsidR="00DE6FC4" w:rsidRPr="00C74DF6" w:rsidRDefault="00DE6FC4" w:rsidP="00C74DF6">
                            <w:pPr>
                              <w:pStyle w:val="Quote"/>
                            </w:pPr>
                            <w:r w:rsidRPr="00C74DF6">
                              <w:t>“We shared very openly our frustrations doing our work in a state that we love that is horribly underserved. We’ve gotten honest with each other which promotes trust and confidence in each other and it makes me more willing to work with someone.”</w:t>
                            </w:r>
                          </w:p>
                          <w:p w14:paraId="08AF3971" w14:textId="0E7CE90F" w:rsidR="00DE6FC4" w:rsidRPr="00CB4AFF" w:rsidRDefault="00202BC4" w:rsidP="00DE6FC4">
                            <w:pPr>
                              <w:pStyle w:val="QuoteAttribution"/>
                            </w:pPr>
                            <w:r>
                              <w:t xml:space="preserve"> —</w:t>
                            </w:r>
                            <w:r w:rsidR="0055103C">
                              <w:t xml:space="preserve"> </w:t>
                            </w:r>
                            <w:r w:rsidR="00DE6FC4">
                              <w:t>MALN member</w:t>
                            </w:r>
                          </w:p>
                          <w:p w14:paraId="453B68C3" w14:textId="77777777" w:rsidR="00DE6FC4" w:rsidRPr="000B4AAE" w:rsidRDefault="00DE6FC4" w:rsidP="00DE6FC4">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17C63" id="Text Box 24" o:spid="_x0000_s1032" type="#_x0000_t202" alt="&quot;&quot;" style="position:absolute;margin-left:186.4pt;margin-top:5.55pt;width:237.6pt;height:128.1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" filled="f" stroked="f" strokeweight=".5pt">
                <v:textbox inset="0,0,0,0">
                  <w:txbxContent>
                    <w:p w14:paraId="44C80EE1" w14:textId="77777777" w:rsidR="00DE6FC4" w:rsidRDefault="00DE6FC4" w:rsidP="00DE6FC4">
                      <w:pPr>
                        <w:pStyle w:val="NoSpacing"/>
                      </w:pPr>
                      <w:r>
                        <w:rPr>
                          <w:noProof/>
                        </w:rPr>
                        <w:drawing>
                          <wp:inline distT="0" distB="0" distL="0" distR="0" wp14:anchorId="050713BA" wp14:editId="7B8C77DF">
                            <wp:extent cx="1033272" cy="82296"/>
                            <wp:effectExtent l="0" t="0" r="0" b="0"/>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33272" cy="82296"/>
                                    </a:xfrm>
                                    <a:prstGeom prst="rect">
                                      <a:avLst/>
                                    </a:prstGeom>
                                  </pic:spPr>
                                </pic:pic>
                              </a:graphicData>
                            </a:graphic>
                          </wp:inline>
                        </w:drawing>
                      </w:r>
                    </w:p>
                    <w:p w14:paraId="49EF9EE3" w14:textId="77777777" w:rsidR="00DE6FC4" w:rsidRPr="00C74DF6" w:rsidRDefault="00DE6FC4" w:rsidP="00C74DF6">
                      <w:pPr>
                        <w:pStyle w:val="Quote"/>
                      </w:pPr>
                      <w:r w:rsidRPr="00C74DF6">
                        <w:t>“We shared very openly our frustrations doing our work in a state that we love that is horribly underserved. We’ve gotten honest with each other which promotes trust and confidence in each other and it makes me more willing to work with someone.”</w:t>
                      </w:r>
                    </w:p>
                    <w:p w14:paraId="08AF3971" w14:textId="0E7CE90F" w:rsidR="00DE6FC4" w:rsidRPr="00CB4AFF" w:rsidRDefault="00202BC4" w:rsidP="00DE6FC4">
                      <w:pPr>
                        <w:pStyle w:val="QuoteAttribution"/>
                      </w:pPr>
                      <w:r>
                        <w:t xml:space="preserve"> —</w:t>
                      </w:r>
                      <w:r w:rsidR="0055103C">
                        <w:t xml:space="preserve"> </w:t>
                      </w:r>
                      <w:r w:rsidR="00DE6FC4">
                        <w:t>MALN member</w:t>
                      </w:r>
                    </w:p>
                    <w:p w14:paraId="453B68C3" w14:textId="77777777" w:rsidR="00DE6FC4" w:rsidRPr="000B4AAE" w:rsidRDefault="00DE6FC4" w:rsidP="00DE6FC4">
                      <w:pPr>
                        <w:pStyle w:val="NoSpacing"/>
                      </w:pPr>
                    </w:p>
                  </w:txbxContent>
                </v:textbox>
                <w10:wrap type="square" anchorx="margin"/>
              </v:shape>
            </w:pict>
          </mc:Fallback>
        </mc:AlternateContent>
      </w:r>
      <w:bookmarkStart w:id="16" w:name="_Hlk167961575"/>
      <w:r w:rsidRPr="00202BC4">
        <w:rPr>
          <w:rStyle w:val="RunIn"/>
        </w:rPr>
        <w:t xml:space="preserve">Open communication and an honest meeting culture. </w:t>
      </w:r>
      <w:bookmarkEnd w:id="16"/>
      <w:r w:rsidRPr="0041205E">
        <w:t xml:space="preserve">Interviewed members reported that </w:t>
      </w:r>
      <w:r>
        <w:t xml:space="preserve">open </w:t>
      </w:r>
      <w:r w:rsidRPr="00BF0C41">
        <w:t>communication during meetings helped develop an honest and safe meeting culture. Sharing challenges</w:t>
      </w:r>
      <w:r>
        <w:t>, frustrations,</w:t>
      </w:r>
      <w:r w:rsidRPr="00BF0C41">
        <w:t xml:space="preserve"> and accomplishments with each other also helped develop trust within the group.</w:t>
      </w:r>
      <w:r>
        <w:t xml:space="preserve"> Facilitators noted that members were willing to seek feedback and input from others, which allowed them to be transparent with each other. One member shared how open communication progressed as members formed relationships during the meetings.</w:t>
      </w:r>
      <w:r w:rsidRPr="00A72BA1">
        <w:t xml:space="preserve"> Facilitator</w:t>
      </w:r>
      <w:r>
        <w:t>s</w:t>
      </w:r>
      <w:r w:rsidRPr="00A72BA1">
        <w:t xml:space="preserve"> </w:t>
      </w:r>
      <w:r>
        <w:t>said they were</w:t>
      </w:r>
      <w:r w:rsidRPr="00A72BA1">
        <w:t xml:space="preserve"> proud of members’ willingness to</w:t>
      </w:r>
      <w:r>
        <w:t>, “put their guard down,”</w:t>
      </w:r>
      <w:r w:rsidRPr="00A72BA1">
        <w:t xml:space="preserve"> and </w:t>
      </w:r>
      <w:r>
        <w:t xml:space="preserve">be open to </w:t>
      </w:r>
      <w:r w:rsidRPr="00A72BA1">
        <w:t>learn</w:t>
      </w:r>
      <w:r>
        <w:t>ing</w:t>
      </w:r>
      <w:r w:rsidRPr="00A72BA1">
        <w:t xml:space="preserve"> from each other. </w:t>
      </w:r>
    </w:p>
    <w:p w14:paraId="39860920" w14:textId="75EC2345" w:rsidR="00DE6FC4" w:rsidRPr="00015185" w:rsidRDefault="00E97A25" w:rsidP="0055103C">
      <w:pPr>
        <w:pStyle w:val="H1"/>
      </w:pPr>
      <w:bookmarkStart w:id="17" w:name="section5"/>
      <w:bookmarkStart w:id="18" w:name="learn"/>
      <w:bookmarkEnd w:id="17"/>
      <w:bookmarkEnd w:id="18"/>
      <w:r>
        <w:t>V.</w:t>
      </w:r>
      <w:r>
        <w:tab/>
      </w:r>
      <w:r w:rsidR="00DE6FC4" w:rsidRPr="00015185">
        <w:t>What did members learn during meetings?</w:t>
      </w:r>
    </w:p>
    <w:p w14:paraId="6618F613" w14:textId="685A080E" w:rsidR="00DE6FC4" w:rsidRDefault="00DE6FC4" w:rsidP="0055103C">
      <w:pPr>
        <w:pStyle w:val="ParagraphContinued"/>
      </w:pPr>
      <w:r>
        <w:t>One</w:t>
      </w:r>
      <w:r w:rsidRPr="00B062FA">
        <w:t xml:space="preserve"> </w:t>
      </w:r>
      <w:r>
        <w:t xml:space="preserve">short-term </w:t>
      </w:r>
      <w:r w:rsidRPr="00B062FA">
        <w:t xml:space="preserve">outcome of </w:t>
      </w:r>
      <w:r>
        <w:t>attending MALN meetings</w:t>
      </w:r>
      <w:r w:rsidRPr="00B062FA">
        <w:t xml:space="preserve"> is that</w:t>
      </w:r>
      <w:r w:rsidR="00637EBB">
        <w:t xml:space="preserve"> by attending meetings,</w:t>
      </w:r>
      <w:r w:rsidRPr="00B062FA">
        <w:t xml:space="preserve"> members </w:t>
      </w:r>
      <w:r w:rsidR="00637EBB">
        <w:t>will</w:t>
      </w:r>
      <w:r w:rsidR="00637EBB" w:rsidRPr="00B062FA">
        <w:t xml:space="preserve"> </w:t>
      </w:r>
      <w:r w:rsidRPr="00B062FA">
        <w:t xml:space="preserve">increase their understanding of policy options, best practices, or innovations </w:t>
      </w:r>
      <w:r>
        <w:t>related to economic mobility</w:t>
      </w:r>
      <w:r w:rsidRPr="00B062FA">
        <w:t xml:space="preserve">. </w:t>
      </w:r>
      <w:r>
        <w:t xml:space="preserve">In January 2024, Mathematica distributed an </w:t>
      </w:r>
      <w:r w:rsidRPr="00E13B11">
        <w:t>endline</w:t>
      </w:r>
      <w:r>
        <w:t xml:space="preserve"> survey to MALN members. As shown in Figure 3, all six </w:t>
      </w:r>
      <w:r w:rsidRPr="00B062FA">
        <w:t>survey respondents</w:t>
      </w:r>
      <w:r>
        <w:t xml:space="preserve"> </w:t>
      </w:r>
      <w:r w:rsidRPr="00B062FA">
        <w:t>agreed or strongly agreed that participating in the MALN increased their understanding of policy options, best practices, or innovations to improve the lives of Mississippians</w:t>
      </w:r>
      <w:r>
        <w:t>.</w:t>
      </w:r>
    </w:p>
    <w:p w14:paraId="66F34773" w14:textId="60F3F54C" w:rsidR="00C6573A" w:rsidRPr="00C6573A" w:rsidRDefault="00E74C02" w:rsidP="00C6573A">
      <w:pPr>
        <w:pStyle w:val="ParagraphContinued"/>
        <w:rPr>
          <w:b/>
          <w:bCs/>
          <w:highlight w:val="yellow"/>
        </w:rPr>
      </w:pPr>
      <w:r w:rsidRPr="00C74DF6">
        <w:rPr>
          <w:rStyle w:val="RunIn"/>
          <w:noProof/>
        </w:rPr>
        <mc:AlternateContent>
          <mc:Choice Requires="wps">
            <w:drawing>
              <wp:anchor distT="0" distB="0" distL="182880" distR="114300" simplePos="0" relativeHeight="251715584" behindDoc="0" locked="0" layoutInCell="1" allowOverlap="1" wp14:anchorId="63CD4831" wp14:editId="0802920F">
                <wp:simplePos x="0" y="0"/>
                <wp:positionH relativeFrom="margin">
                  <wp:posOffset>3067050</wp:posOffset>
                </wp:positionH>
                <wp:positionV relativeFrom="margin">
                  <wp:posOffset>6136005</wp:posOffset>
                </wp:positionV>
                <wp:extent cx="2862072" cy="1600200"/>
                <wp:effectExtent l="0" t="0" r="14605" b="0"/>
                <wp:wrapSquare wrapText="bothSides"/>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62072" cy="1600200"/>
                        </a:xfrm>
                        <a:prstGeom prst="rect">
                          <a:avLst/>
                        </a:prstGeom>
                        <a:noFill/>
                        <a:ln w="6350">
                          <a:noFill/>
                        </a:ln>
                      </wps:spPr>
                      <wps:txbx>
                        <w:txbxContent>
                          <w:p w14:paraId="789DBDDA" w14:textId="77777777" w:rsidR="00C6573A" w:rsidRDefault="00C6573A" w:rsidP="00C6573A">
                            <w:pPr>
                              <w:pStyle w:val="NoSpacing"/>
                            </w:pPr>
                            <w:r>
                              <w:rPr>
                                <w:noProof/>
                              </w:rPr>
                              <w:drawing>
                                <wp:inline distT="0" distB="0" distL="0" distR="0" wp14:anchorId="30460D4A" wp14:editId="0A78AC6C">
                                  <wp:extent cx="1033272" cy="82296"/>
                                  <wp:effectExtent l="0" t="0" r="0" b="0"/>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33272" cy="82296"/>
                                          </a:xfrm>
                                          <a:prstGeom prst="rect">
                                            <a:avLst/>
                                          </a:prstGeom>
                                        </pic:spPr>
                                      </pic:pic>
                                    </a:graphicData>
                                  </a:graphic>
                                </wp:inline>
                              </w:drawing>
                            </w:r>
                          </w:p>
                          <w:p w14:paraId="56894F27" w14:textId="77777777" w:rsidR="00C6573A" w:rsidRPr="00C74DF6" w:rsidRDefault="00C6573A" w:rsidP="00C6573A">
                            <w:pPr>
                              <w:pStyle w:val="Quote"/>
                            </w:pPr>
                            <w:r w:rsidRPr="00C74DF6">
                              <w:t>“Everybody knows that transportation is the most impactful and ubiquitous [barrier] among low-income Mississippians. And it gets in the way of everything, because we don’t have mass transportation resources to a significant degree.”</w:t>
                            </w:r>
                          </w:p>
                          <w:p w14:paraId="6CAE67DA" w14:textId="77777777" w:rsidR="00C6573A" w:rsidRPr="00CB4AFF" w:rsidRDefault="00C6573A" w:rsidP="00C6573A">
                            <w:pPr>
                              <w:pStyle w:val="QuoteAttribution"/>
                            </w:pPr>
                            <w:r>
                              <w:t xml:space="preserve"> — MALN member</w:t>
                            </w:r>
                          </w:p>
                          <w:p w14:paraId="79D30A7B" w14:textId="77777777" w:rsidR="00C6573A" w:rsidRPr="000B4AAE" w:rsidRDefault="00C6573A" w:rsidP="00C6573A">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D4831" id="Text Box 4" o:spid="_x0000_s1033" type="#_x0000_t202" alt="&quot;&quot;" style="position:absolute;margin-left:241.5pt;margin-top:483.15pt;width:225.35pt;height:126pt;z-index:251715584;visibility:visible;mso-wrap-style:square;mso-width-percent:0;mso-height-percent:0;mso-wrap-distance-left:14.4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" filled="f" stroked="f" strokeweight=".5pt">
                <v:textbox inset="0,0,0,0">
                  <w:txbxContent>
                    <w:p w14:paraId="789DBDDA" w14:textId="77777777" w:rsidR="00C6573A" w:rsidRDefault="00C6573A" w:rsidP="00C6573A">
                      <w:pPr>
                        <w:pStyle w:val="NoSpacing"/>
                      </w:pPr>
                      <w:r>
                        <w:rPr>
                          <w:noProof/>
                        </w:rPr>
                        <w:drawing>
                          <wp:inline distT="0" distB="0" distL="0" distR="0" wp14:anchorId="30460D4A" wp14:editId="0A78AC6C">
                            <wp:extent cx="1033272" cy="82296"/>
                            <wp:effectExtent l="0" t="0" r="0" b="0"/>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33272" cy="82296"/>
                                    </a:xfrm>
                                    <a:prstGeom prst="rect">
                                      <a:avLst/>
                                    </a:prstGeom>
                                  </pic:spPr>
                                </pic:pic>
                              </a:graphicData>
                            </a:graphic>
                          </wp:inline>
                        </w:drawing>
                      </w:r>
                    </w:p>
                    <w:p w14:paraId="56894F27" w14:textId="77777777" w:rsidR="00C6573A" w:rsidRPr="00C74DF6" w:rsidRDefault="00C6573A" w:rsidP="00C6573A">
                      <w:pPr>
                        <w:pStyle w:val="Quote"/>
                      </w:pPr>
                      <w:r w:rsidRPr="00C74DF6">
                        <w:t>“Everybody knows that transportation is the most impactful and ubiquitous [barrier] among low-income Mississippians. And it gets in the way of everything, because we don’t have mass transportation resources to a significant degree.”</w:t>
                      </w:r>
                    </w:p>
                    <w:p w14:paraId="6CAE67DA" w14:textId="77777777" w:rsidR="00C6573A" w:rsidRPr="00CB4AFF" w:rsidRDefault="00C6573A" w:rsidP="00C6573A">
                      <w:pPr>
                        <w:pStyle w:val="QuoteAttribution"/>
                      </w:pPr>
                      <w:r>
                        <w:t xml:space="preserve"> — MALN member</w:t>
                      </w:r>
                    </w:p>
                    <w:p w14:paraId="79D30A7B" w14:textId="77777777" w:rsidR="00C6573A" w:rsidRPr="000B4AAE" w:rsidRDefault="00C6573A" w:rsidP="00C6573A">
                      <w:pPr>
                        <w:pStyle w:val="NoSpacing"/>
                      </w:pPr>
                    </w:p>
                  </w:txbxContent>
                </v:textbox>
                <w10:wrap type="square" anchorx="margin" anchory="margin"/>
              </v:shape>
            </w:pict>
          </mc:Fallback>
        </mc:AlternateContent>
      </w:r>
      <w:r w:rsidR="00C6573A" w:rsidRPr="00C74DF6">
        <w:rPr>
          <w:rStyle w:val="RunIn"/>
        </w:rPr>
        <w:t xml:space="preserve">MALN members learned innovative ways to use TANF funds for transportation. </w:t>
      </w:r>
      <w:r w:rsidR="00C6573A">
        <w:t xml:space="preserve">All six survey respondents agreed or strongly agreed that participating in the MALN increased their understanding of this topic. </w:t>
      </w:r>
      <w:r w:rsidR="00C6573A" w:rsidRPr="00CE7E91">
        <w:t xml:space="preserve">Members reported learning about best practices from West Virginia and Louisiana in spending TANF funds to increase mobility. </w:t>
      </w:r>
      <w:r w:rsidR="00C6573A">
        <w:t>One</w:t>
      </w:r>
      <w:r w:rsidR="00C6573A" w:rsidRPr="00CE7E91">
        <w:t xml:space="preserve"> member </w:t>
      </w:r>
      <w:r w:rsidR="00C6573A">
        <w:t>noted</w:t>
      </w:r>
      <w:r w:rsidR="00C6573A" w:rsidRPr="00CE7E91">
        <w:t xml:space="preserve"> that Mississippians experience challenges with workforce participation and </w:t>
      </w:r>
      <w:r w:rsidR="00C6573A">
        <w:t>access</w:t>
      </w:r>
      <w:r w:rsidR="00C6573A" w:rsidRPr="00CE7E91">
        <w:t xml:space="preserve"> </w:t>
      </w:r>
      <w:r w:rsidR="00C6573A">
        <w:t>to</w:t>
      </w:r>
      <w:r w:rsidR="00C6573A" w:rsidRPr="00CE7E91">
        <w:t xml:space="preserve"> resources due to lack of transportation.</w:t>
      </w:r>
    </w:p>
    <w:tbl>
      <w:tblPr>
        <w:tblStyle w:val="GrayCell"/>
        <w:tblW w:w="9360" w:type="dxa"/>
        <w:tblCellMar>
          <w:left w:w="0" w:type="dxa"/>
          <w:right w:w="0" w:type="dxa"/>
        </w:tblCellMar>
        <w:tblLook w:val="04A0" w:firstRow="1" w:lastRow="0" w:firstColumn="1" w:lastColumn="0" w:noHBand="0" w:noVBand="1"/>
      </w:tblPr>
      <w:tblGrid>
        <w:gridCol w:w="9360"/>
      </w:tblGrid>
      <w:tr w:rsidR="00D53F8B" w14:paraId="72F9BEEE" w14:textId="77777777" w:rsidTr="00D83DF9">
        <w:tc>
          <w:tcPr>
            <w:tcW w:w="5000" w:type="pct"/>
            <w:shd w:val="clear" w:color="auto" w:fill="auto"/>
          </w:tcPr>
          <w:p w14:paraId="4A7E53E6" w14:textId="77777777" w:rsidR="00D53F8B" w:rsidRDefault="00D53F8B" w:rsidP="00D53F8B">
            <w:pPr>
              <w:pStyle w:val="FigureTitle"/>
            </w:pPr>
            <w:r w:rsidRPr="00D53F8B">
              <w:rPr>
                <w:b/>
                <w:bCs/>
              </w:rPr>
              <w:lastRenderedPageBreak/>
              <w:t xml:space="preserve">Figure 3. </w:t>
            </w:r>
            <w:r>
              <w:t>Knowledge gained by participating in the MALN</w:t>
            </w:r>
          </w:p>
          <w:p w14:paraId="48229D4F" w14:textId="2CA7B31F" w:rsidR="00D53F8B" w:rsidRPr="002267A4" w:rsidRDefault="00A96D3D" w:rsidP="0035514A">
            <w:pPr>
              <w:pStyle w:val="ExhibitSource"/>
              <w:jc w:val="center"/>
            </w:pPr>
            <w:r>
              <w:rPr>
                <w:noProof/>
              </w:rPr>
              <w:drawing>
                <wp:inline distT="0" distB="0" distL="0" distR="0" wp14:anchorId="388F6C07" wp14:editId="56253D64">
                  <wp:extent cx="4632025" cy="2505075"/>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4634999" cy="2506684"/>
                          </a:xfrm>
                          <a:prstGeom prst="rect">
                            <a:avLst/>
                          </a:prstGeom>
                        </pic:spPr>
                      </pic:pic>
                    </a:graphicData>
                  </a:graphic>
                </wp:inline>
              </w:drawing>
            </w:r>
          </w:p>
        </w:tc>
      </w:tr>
    </w:tbl>
    <w:p w14:paraId="36C4011F" w14:textId="543DCB05" w:rsidR="00DE6FC4" w:rsidRDefault="0085162E" w:rsidP="00C6573A">
      <w:pPr>
        <w:pStyle w:val="ParagraphContinued"/>
      </w:pPr>
      <w:r w:rsidRPr="00C74DF6">
        <w:rPr>
          <w:rStyle w:val="RunIn"/>
          <w:noProof/>
        </w:rPr>
        <mc:AlternateContent>
          <mc:Choice Requires="wps">
            <w:drawing>
              <wp:anchor distT="0" distB="0" distL="114300" distR="114300" simplePos="0" relativeHeight="251688960" behindDoc="0" locked="0" layoutInCell="1" allowOverlap="1" wp14:anchorId="1605F448" wp14:editId="311830C2">
                <wp:simplePos x="0" y="0"/>
                <wp:positionH relativeFrom="margin">
                  <wp:posOffset>3067050</wp:posOffset>
                </wp:positionH>
                <wp:positionV relativeFrom="paragraph">
                  <wp:posOffset>1163955</wp:posOffset>
                </wp:positionV>
                <wp:extent cx="2862072" cy="1499616"/>
                <wp:effectExtent l="0" t="0" r="14605" b="5715"/>
                <wp:wrapSquare wrapText="bothSides"/>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62072" cy="1499616"/>
                        </a:xfrm>
                        <a:prstGeom prst="rect">
                          <a:avLst/>
                        </a:prstGeom>
                        <a:noFill/>
                        <a:ln w="6350">
                          <a:noFill/>
                        </a:ln>
                      </wps:spPr>
                      <wps:txbx>
                        <w:txbxContent>
                          <w:p w14:paraId="43185DFD" w14:textId="77777777" w:rsidR="00DE6FC4" w:rsidRPr="00DA76A8" w:rsidRDefault="00DE6FC4" w:rsidP="00DE6FC4">
                            <w:pPr>
                              <w:pStyle w:val="NoSpacing"/>
                              <w:rPr>
                                <w:sz w:val="22"/>
                              </w:rPr>
                            </w:pPr>
                            <w:r w:rsidRPr="00DA76A8">
                              <w:rPr>
                                <w:noProof/>
                                <w:sz w:val="22"/>
                              </w:rPr>
                              <w:drawing>
                                <wp:inline distT="0" distB="0" distL="0" distR="0" wp14:anchorId="53E346D6" wp14:editId="5121741B">
                                  <wp:extent cx="1033272" cy="82296"/>
                                  <wp:effectExtent l="0" t="0" r="0" b="0"/>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33272" cy="82296"/>
                                          </a:xfrm>
                                          <a:prstGeom prst="rect">
                                            <a:avLst/>
                                          </a:prstGeom>
                                        </pic:spPr>
                                      </pic:pic>
                                    </a:graphicData>
                                  </a:graphic>
                                </wp:inline>
                              </w:drawing>
                            </w:r>
                          </w:p>
                          <w:p w14:paraId="18DA8FAD" w14:textId="015803D8" w:rsidR="00DE6FC4" w:rsidRPr="00C74DF6" w:rsidRDefault="00DE6FC4" w:rsidP="00C74DF6">
                            <w:pPr>
                              <w:pStyle w:val="Quote"/>
                            </w:pPr>
                            <w:r w:rsidRPr="00C74DF6">
                              <w:t xml:space="preserve">“Getting some best practices and ideas from the other states and entities has been informative…What I’ve </w:t>
                            </w:r>
                            <w:r w:rsidR="00127E44" w:rsidRPr="00C74DF6">
                              <w:t>gained</w:t>
                            </w:r>
                            <w:r w:rsidRPr="00C74DF6">
                              <w:t xml:space="preserve"> the most has been those interactions with other agencies and that building of rapport.”</w:t>
                            </w:r>
                          </w:p>
                          <w:p w14:paraId="13C68E62" w14:textId="13363D31" w:rsidR="00DE6FC4" w:rsidRPr="00CB4AFF" w:rsidRDefault="00C74DF6" w:rsidP="00DE6FC4">
                            <w:pPr>
                              <w:pStyle w:val="QuoteAttribution"/>
                            </w:pPr>
                            <w:r>
                              <w:t xml:space="preserve"> — </w:t>
                            </w:r>
                            <w:r w:rsidR="00DE6FC4">
                              <w:t>MALN member</w:t>
                            </w:r>
                          </w:p>
                          <w:p w14:paraId="4350F15C" w14:textId="77777777" w:rsidR="00DE6FC4" w:rsidRPr="000B4AAE" w:rsidRDefault="00DE6FC4" w:rsidP="00DE6FC4">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5F448" id="Text Box 29" o:spid="_x0000_s1034" type="#_x0000_t202" alt="&quot;&quot;" style="position:absolute;margin-left:241.5pt;margin-top:91.65pt;width:225.35pt;height:118.1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" filled="f" stroked="f" strokeweight=".5pt">
                <v:textbox inset="0,0,0,0">
                  <w:txbxContent>
                    <w:p w14:paraId="43185DFD" w14:textId="77777777" w:rsidR="00DE6FC4" w:rsidRPr="00DA76A8" w:rsidRDefault="00DE6FC4" w:rsidP="00DE6FC4">
                      <w:pPr>
                        <w:pStyle w:val="NoSpacing"/>
                        <w:rPr>
                          <w:sz w:val="22"/>
                        </w:rPr>
                      </w:pPr>
                      <w:r w:rsidRPr="00DA76A8">
                        <w:rPr>
                          <w:noProof/>
                          <w:sz w:val="22"/>
                        </w:rPr>
                        <w:drawing>
                          <wp:inline distT="0" distB="0" distL="0" distR="0" wp14:anchorId="53E346D6" wp14:editId="5121741B">
                            <wp:extent cx="1033272" cy="82296"/>
                            <wp:effectExtent l="0" t="0" r="0" b="0"/>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33272" cy="82296"/>
                                    </a:xfrm>
                                    <a:prstGeom prst="rect">
                                      <a:avLst/>
                                    </a:prstGeom>
                                  </pic:spPr>
                                </pic:pic>
                              </a:graphicData>
                            </a:graphic>
                          </wp:inline>
                        </w:drawing>
                      </w:r>
                    </w:p>
                    <w:p w14:paraId="18DA8FAD" w14:textId="015803D8" w:rsidR="00DE6FC4" w:rsidRPr="00C74DF6" w:rsidRDefault="00DE6FC4" w:rsidP="00C74DF6">
                      <w:pPr>
                        <w:pStyle w:val="Quote"/>
                      </w:pPr>
                      <w:r w:rsidRPr="00C74DF6">
                        <w:t xml:space="preserve">“Getting some best practices and ideas from the other states and entities has been informative…What I’ve </w:t>
                      </w:r>
                      <w:r w:rsidR="00127E44" w:rsidRPr="00C74DF6">
                        <w:t>gained</w:t>
                      </w:r>
                      <w:r w:rsidRPr="00C74DF6">
                        <w:t xml:space="preserve"> the most has been those interactions with other agencies and that building of rapport.”</w:t>
                      </w:r>
                    </w:p>
                    <w:p w14:paraId="13C68E62" w14:textId="13363D31" w:rsidR="00DE6FC4" w:rsidRPr="00CB4AFF" w:rsidRDefault="00C74DF6" w:rsidP="00DE6FC4">
                      <w:pPr>
                        <w:pStyle w:val="QuoteAttribution"/>
                      </w:pPr>
                      <w:r>
                        <w:t xml:space="preserve"> — </w:t>
                      </w:r>
                      <w:r w:rsidR="00DE6FC4">
                        <w:t>MALN member</w:t>
                      </w:r>
                    </w:p>
                    <w:p w14:paraId="4350F15C" w14:textId="77777777" w:rsidR="00DE6FC4" w:rsidRPr="000B4AAE" w:rsidRDefault="00DE6FC4" w:rsidP="00DE6FC4">
                      <w:pPr>
                        <w:pStyle w:val="NoSpacing"/>
                      </w:pPr>
                    </w:p>
                  </w:txbxContent>
                </v:textbox>
                <w10:wrap type="square" anchorx="margin"/>
              </v:shape>
            </w:pict>
          </mc:Fallback>
        </mc:AlternateContent>
      </w:r>
      <w:r w:rsidR="00DE6FC4" w:rsidRPr="00C74DF6">
        <w:rPr>
          <w:rStyle w:val="RunIn"/>
        </w:rPr>
        <w:t xml:space="preserve">MALN members learned about other Mississippi member agencies, including their available services and programs. </w:t>
      </w:r>
      <w:r w:rsidR="00DE6FC4">
        <w:t>All six survey respondents agreed or strongly agreed that participating in the MALN increased their understanding of the work of other state agencies or organizations.</w:t>
      </w:r>
      <w:r w:rsidR="00DE6FC4" w:rsidRPr="0038432C">
        <w:t xml:space="preserve"> One member reported learning about the use of Uber by the Department of Health to allow Mississippians to access </w:t>
      </w:r>
      <w:r w:rsidR="00DE6FC4">
        <w:t xml:space="preserve">local </w:t>
      </w:r>
      <w:r w:rsidR="00DE6FC4" w:rsidRPr="0038432C">
        <w:t>health department</w:t>
      </w:r>
      <w:r w:rsidR="00DE6FC4">
        <w:t>s</w:t>
      </w:r>
      <w:r w:rsidR="00DE6FC4" w:rsidRPr="0038432C">
        <w:t xml:space="preserve"> and health</w:t>
      </w:r>
      <w:r w:rsidR="00DE6FC4">
        <w:t xml:space="preserve"> </w:t>
      </w:r>
      <w:r w:rsidR="00DE6FC4" w:rsidRPr="0038432C">
        <w:t xml:space="preserve">care services. </w:t>
      </w:r>
      <w:r w:rsidR="00DE6FC4" w:rsidRPr="00014FFE">
        <w:t xml:space="preserve">Members </w:t>
      </w:r>
      <w:r w:rsidR="00DE6FC4">
        <w:t>said that starting meetings with agency updates was particularly helpful to learn about the other agencies’ work. Additionally, all six survey respondents agreed or strongly agreed that participating in the MALN increased their understanding of the range of services and programs available to Mississippians. One</w:t>
      </w:r>
      <w:r w:rsidR="00DE6FC4" w:rsidRPr="0038432C">
        <w:t xml:space="preserve"> member reported learning more about reentry and job training programs </w:t>
      </w:r>
      <w:r w:rsidR="00DE6FC4">
        <w:t xml:space="preserve">from the </w:t>
      </w:r>
      <w:r w:rsidR="00DE6FC4" w:rsidRPr="0038432C">
        <w:t>Mississippi Department of Corrections. They noted how understanding the</w:t>
      </w:r>
      <w:r w:rsidR="00DE6FC4">
        <w:t>se</w:t>
      </w:r>
      <w:r w:rsidR="00DE6FC4" w:rsidRPr="0038432C">
        <w:t xml:space="preserve"> services allow</w:t>
      </w:r>
      <w:r w:rsidR="00DE6FC4">
        <w:t>ed</w:t>
      </w:r>
      <w:r w:rsidR="00DE6FC4" w:rsidRPr="0038432C">
        <w:t xml:space="preserve"> them to facilitate services for their clients as well.</w:t>
      </w:r>
    </w:p>
    <w:p w14:paraId="186BCB8B" w14:textId="09A9B837" w:rsidR="00DE6FC4" w:rsidRPr="006B06F6" w:rsidRDefault="00322948" w:rsidP="00C74DF6">
      <w:pPr>
        <w:pStyle w:val="Paragraph"/>
      </w:pPr>
      <w:r w:rsidRPr="00283A2E">
        <w:rPr>
          <w:noProof/>
        </w:rPr>
        <mc:AlternateContent>
          <mc:Choice Requires="wps">
            <w:drawing>
              <wp:anchor distT="91440" distB="91440" distL="114300" distR="114300" simplePos="0" relativeHeight="251707392" behindDoc="0" locked="0" layoutInCell="1" allowOverlap="1" wp14:anchorId="61B1B027" wp14:editId="2F43F6D4">
                <wp:simplePos x="0" y="0"/>
                <wp:positionH relativeFrom="margin">
                  <wp:posOffset>0</wp:posOffset>
                </wp:positionH>
                <wp:positionV relativeFrom="margin">
                  <wp:posOffset>6756400</wp:posOffset>
                </wp:positionV>
                <wp:extent cx="6035040" cy="981075"/>
                <wp:effectExtent l="0" t="0" r="3810" b="9525"/>
                <wp:wrapSquare wrapText="bothSides"/>
                <wp:docPr id="44"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35040" cy="981075"/>
                        </a:xfrm>
                        <a:prstGeom prst="rect">
                          <a:avLst/>
                        </a:prstGeom>
                        <a:noFill/>
                        <a:ln w="6350">
                          <a:noFill/>
                        </a:ln>
                      </wps:spPr>
                      <wps:txbx>
                        <w:txbxContent>
                          <w:p w14:paraId="33D80A01" w14:textId="77777777" w:rsidR="008F4EFA" w:rsidRPr="000B4AAE" w:rsidRDefault="008F4EFA" w:rsidP="00283A2E">
                            <w:pPr>
                              <w:pStyle w:val="NoSpacing"/>
                            </w:pPr>
                            <w:r>
                              <w:rPr>
                                <w:noProof/>
                              </w:rPr>
                              <w:drawing>
                                <wp:inline distT="0" distB="0" distL="0" distR="0" wp14:anchorId="01EDEB2F" wp14:editId="1F641E5E">
                                  <wp:extent cx="1947672" cy="82296"/>
                                  <wp:effectExtent l="0" t="0" r="0" b="0"/>
                                  <wp:docPr id="74" name="Graphic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947672" cy="82296"/>
                                          </a:xfrm>
                                          <a:prstGeom prst="rect">
                                            <a:avLst/>
                                          </a:prstGeom>
                                        </pic:spPr>
                                      </pic:pic>
                                    </a:graphicData>
                                  </a:graphic>
                                </wp:inline>
                              </w:drawing>
                            </w:r>
                          </w:p>
                          <w:p w14:paraId="020490C0" w14:textId="450B3247" w:rsidR="008F4EFA" w:rsidRDefault="008F4EFA" w:rsidP="00CB4AFF">
                            <w:pPr>
                              <w:pStyle w:val="Quote"/>
                            </w:pPr>
                            <w:r>
                              <w:t>“Things like maternal death and cardiovascular disease and having the lowest life expectancy in the country and having the highest rate of preventable death in the country… when all that goes away, that means our people are living healthier, happier lives.”</w:t>
                            </w:r>
                          </w:p>
                          <w:p w14:paraId="0431B4B3" w14:textId="6C23B0A4" w:rsidR="008F4EFA" w:rsidRPr="00CB4AFF" w:rsidRDefault="008F4EFA" w:rsidP="009D354F">
                            <w:pPr>
                              <w:pStyle w:val="QuoteAttribution"/>
                            </w:pPr>
                            <w:r>
                              <w:t>— MALN member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1B027" id="Text Box 39" o:spid="_x0000_s1035" type="#_x0000_t202" alt="&quot;&quot;" style="position:absolute;margin-left:0;margin-top:532pt;width:475.2pt;height:77.25pt;z-index:2517073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" filled="f" stroked="f" strokeweight=".5pt">
                <v:textbox inset="0,0,0,0">
                  <w:txbxContent>
                    <w:p w14:paraId="33D80A01" w14:textId="77777777" w:rsidR="008F4EFA" w:rsidRPr="000B4AAE" w:rsidRDefault="008F4EFA" w:rsidP="00283A2E">
                      <w:pPr>
                        <w:pStyle w:val="NoSpacing"/>
                      </w:pPr>
                      <w:r>
                        <w:rPr>
                          <w:noProof/>
                        </w:rPr>
                        <w:drawing>
                          <wp:inline distT="0" distB="0" distL="0" distR="0" wp14:anchorId="01EDEB2F" wp14:editId="1F641E5E">
                            <wp:extent cx="1947672" cy="82296"/>
                            <wp:effectExtent l="0" t="0" r="0" b="0"/>
                            <wp:docPr id="74" name="Graphic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947672" cy="82296"/>
                                    </a:xfrm>
                                    <a:prstGeom prst="rect">
                                      <a:avLst/>
                                    </a:prstGeom>
                                  </pic:spPr>
                                </pic:pic>
                              </a:graphicData>
                            </a:graphic>
                          </wp:inline>
                        </w:drawing>
                      </w:r>
                    </w:p>
                    <w:p w14:paraId="020490C0" w14:textId="450B3247" w:rsidR="008F4EFA" w:rsidRDefault="008F4EFA" w:rsidP="00CB4AFF">
                      <w:pPr>
                        <w:pStyle w:val="Quote"/>
                      </w:pPr>
                      <w:r>
                        <w:t>“Things like maternal death and cardiovascular disease and having the lowest life expectancy in the country and having the highest rate of preventable death in the country… when all that goes away, that means our people are living healthier, happier lives.”</w:t>
                      </w:r>
                    </w:p>
                    <w:p w14:paraId="0431B4B3" w14:textId="6C23B0A4" w:rsidR="008F4EFA" w:rsidRPr="00CB4AFF" w:rsidRDefault="008F4EFA" w:rsidP="009D354F">
                      <w:pPr>
                        <w:pStyle w:val="QuoteAttribution"/>
                      </w:pPr>
                      <w:r>
                        <w:t>— MALN member</w:t>
                      </w:r>
                    </w:p>
                  </w:txbxContent>
                </v:textbox>
                <w10:wrap type="square" anchorx="margin" anchory="margin"/>
              </v:shape>
            </w:pict>
          </mc:Fallback>
        </mc:AlternateContent>
      </w:r>
      <w:r w:rsidR="00DE6FC4" w:rsidRPr="00C74DF6">
        <w:rPr>
          <w:rStyle w:val="RunIn"/>
        </w:rPr>
        <w:t xml:space="preserve">MALN members strengthened their belief in the importance of state agencies working together to improve outcomes for all Mississippians. </w:t>
      </w:r>
      <w:r w:rsidR="00DE6FC4" w:rsidRPr="00547866">
        <w:t xml:space="preserve">All six survey respondents agreed or strongly agreed that participating in the MALN increased </w:t>
      </w:r>
      <w:r w:rsidR="00DE6FC4">
        <w:t>this</w:t>
      </w:r>
      <w:r w:rsidR="00DE6FC4" w:rsidRPr="00547866">
        <w:t xml:space="preserve"> belief.</w:t>
      </w:r>
      <w:r w:rsidR="00DE6FC4">
        <w:t xml:space="preserve"> </w:t>
      </w:r>
      <w:r w:rsidR="00DE6FC4" w:rsidRPr="00E20027">
        <w:t>Members reported that they serve similar populations</w:t>
      </w:r>
      <w:r w:rsidR="00DE6FC4">
        <w:t>,</w:t>
      </w:r>
      <w:r w:rsidR="00DE6FC4" w:rsidRPr="00E20027">
        <w:t xml:space="preserve"> </w:t>
      </w:r>
      <w:r w:rsidR="00DE6FC4">
        <w:t xml:space="preserve">which </w:t>
      </w:r>
      <w:r w:rsidR="00DE6FC4" w:rsidRPr="00E20027">
        <w:t>mak</w:t>
      </w:r>
      <w:r w:rsidR="00DE6FC4">
        <w:t>es</w:t>
      </w:r>
      <w:r w:rsidR="00DE6FC4" w:rsidRPr="00E20027">
        <w:t xml:space="preserve"> work</w:t>
      </w:r>
      <w:r w:rsidR="00DE6FC4">
        <w:t>ing</w:t>
      </w:r>
      <w:r w:rsidR="00DE6FC4" w:rsidRPr="00E20027">
        <w:t xml:space="preserve"> together</w:t>
      </w:r>
      <w:r w:rsidR="00DE6FC4">
        <w:t xml:space="preserve"> </w:t>
      </w:r>
      <w:r w:rsidR="00DE6FC4" w:rsidRPr="00E20027">
        <w:t xml:space="preserve">necessary to avoid duplication. </w:t>
      </w:r>
    </w:p>
    <w:p w14:paraId="7A6C5FB2" w14:textId="3411D53E" w:rsidR="00DE6FC4" w:rsidRDefault="00E97A25" w:rsidP="00C74DF6">
      <w:pPr>
        <w:pStyle w:val="H1"/>
      </w:pPr>
      <w:bookmarkStart w:id="19" w:name="section6"/>
      <w:bookmarkEnd w:id="19"/>
      <w:r>
        <w:lastRenderedPageBreak/>
        <w:t>VI.</w:t>
      </w:r>
      <w:r>
        <w:tab/>
      </w:r>
      <w:r w:rsidR="00DE6FC4">
        <w:t>How did members apply their learnings to make progress on the MALN road map?</w:t>
      </w:r>
    </w:p>
    <w:p w14:paraId="2AA02574" w14:textId="767EEC34" w:rsidR="00DE6FC4" w:rsidRDefault="0085162E" w:rsidP="00C62EDF">
      <w:pPr>
        <w:pStyle w:val="ParagraphContinued"/>
      </w:pPr>
      <w:bookmarkStart w:id="20" w:name="_Hlk162948110"/>
      <w:r w:rsidRPr="00283A2E">
        <w:rPr>
          <w:noProof/>
        </w:rPr>
        <mc:AlternateContent>
          <mc:Choice Requires="wps">
            <w:drawing>
              <wp:anchor distT="0" distB="0" distL="114300" distR="114300" simplePos="0" relativeHeight="251705344" behindDoc="0" locked="0" layoutInCell="1" allowOverlap="1" wp14:anchorId="7ECCBF2A" wp14:editId="0DA2A672">
                <wp:simplePos x="0" y="0"/>
                <wp:positionH relativeFrom="margin">
                  <wp:posOffset>3067050</wp:posOffset>
                </wp:positionH>
                <wp:positionV relativeFrom="paragraph">
                  <wp:posOffset>123825</wp:posOffset>
                </wp:positionV>
                <wp:extent cx="2861945" cy="1419225"/>
                <wp:effectExtent l="0" t="0" r="14605" b="9525"/>
                <wp:wrapSquare wrapText="bothSides"/>
                <wp:docPr id="42" name="Text Box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61945" cy="1419225"/>
                        </a:xfrm>
                        <a:prstGeom prst="rect">
                          <a:avLst/>
                        </a:prstGeom>
                        <a:noFill/>
                        <a:ln w="6350">
                          <a:noFill/>
                        </a:ln>
                      </wps:spPr>
                      <wps:txbx>
                        <w:txbxContent>
                          <w:p w14:paraId="644B8353" w14:textId="77777777" w:rsidR="0085162E" w:rsidRDefault="0085162E" w:rsidP="00283A2E">
                            <w:pPr>
                              <w:pStyle w:val="NoSpacing"/>
                            </w:pPr>
                            <w:r>
                              <w:rPr>
                                <w:noProof/>
                              </w:rPr>
                              <w:drawing>
                                <wp:inline distT="0" distB="0" distL="0" distR="0" wp14:anchorId="2A50281A" wp14:editId="601F3D04">
                                  <wp:extent cx="1033272" cy="82296"/>
                                  <wp:effectExtent l="0" t="0" r="0" b="0"/>
                                  <wp:docPr id="43"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33272" cy="82296"/>
                                          </a:xfrm>
                                          <a:prstGeom prst="rect">
                                            <a:avLst/>
                                          </a:prstGeom>
                                        </pic:spPr>
                                      </pic:pic>
                                    </a:graphicData>
                                  </a:graphic>
                                </wp:inline>
                              </w:drawing>
                            </w:r>
                          </w:p>
                          <w:p w14:paraId="3FF9EF9A" w14:textId="4F443037" w:rsidR="0085162E" w:rsidRDefault="008F4EFA" w:rsidP="00894FE4">
                            <w:pPr>
                              <w:pStyle w:val="Quote"/>
                            </w:pPr>
                            <w:r>
                              <w:t>“I think they have made a lot of progress on [generative leadership]… That getting to know each other, getting to understanding the work of each other’s agencies, I think has been critical and crucial.”</w:t>
                            </w:r>
                          </w:p>
                          <w:p w14:paraId="7269C8B9" w14:textId="15A445F7" w:rsidR="0085162E" w:rsidRPr="00CB4AFF" w:rsidRDefault="008F4EFA" w:rsidP="00894FE4">
                            <w:pPr>
                              <w:pStyle w:val="QuoteAttribution"/>
                            </w:pPr>
                            <w:r>
                              <w:t xml:space="preserve"> — MALN facilitator</w:t>
                            </w:r>
                          </w:p>
                          <w:p w14:paraId="5F4662FB" w14:textId="77777777" w:rsidR="0085162E" w:rsidRPr="000B4AAE" w:rsidRDefault="0085162E" w:rsidP="00283A2E">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CBF2A" id="_x0000_s1036" type="#_x0000_t202" alt="&quot;&quot;" style="position:absolute;margin-left:241.5pt;margin-top:9.75pt;width:225.35pt;height:111.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" filled="f" stroked="f" strokeweight=".5pt">
                <v:textbox inset="0,0,0,0">
                  <w:txbxContent>
                    <w:p w14:paraId="644B8353" w14:textId="77777777" w:rsidR="0085162E" w:rsidRDefault="0085162E" w:rsidP="00283A2E">
                      <w:pPr>
                        <w:pStyle w:val="NoSpacing"/>
                      </w:pPr>
                      <w:r>
                        <w:rPr>
                          <w:noProof/>
                        </w:rPr>
                        <w:drawing>
                          <wp:inline distT="0" distB="0" distL="0" distR="0" wp14:anchorId="2A50281A" wp14:editId="601F3D04">
                            <wp:extent cx="1033272" cy="82296"/>
                            <wp:effectExtent l="0" t="0" r="0" b="0"/>
                            <wp:docPr id="43"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33272" cy="82296"/>
                                    </a:xfrm>
                                    <a:prstGeom prst="rect">
                                      <a:avLst/>
                                    </a:prstGeom>
                                  </pic:spPr>
                                </pic:pic>
                              </a:graphicData>
                            </a:graphic>
                          </wp:inline>
                        </w:drawing>
                      </w:r>
                    </w:p>
                    <w:p w14:paraId="3FF9EF9A" w14:textId="4F443037" w:rsidR="0085162E" w:rsidRDefault="008F4EFA" w:rsidP="00894FE4">
                      <w:pPr>
                        <w:pStyle w:val="Quote"/>
                      </w:pPr>
                      <w:r>
                        <w:t>“I think they have made a lot of progress on [generative leadership]… That getting to know each other, getting to understanding the work of each other’s agencies, I think has been critical and crucial.”</w:t>
                      </w:r>
                    </w:p>
                    <w:p w14:paraId="7269C8B9" w14:textId="15A445F7" w:rsidR="0085162E" w:rsidRPr="00CB4AFF" w:rsidRDefault="008F4EFA" w:rsidP="00894FE4">
                      <w:pPr>
                        <w:pStyle w:val="QuoteAttribution"/>
                      </w:pPr>
                      <w:r>
                        <w:t xml:space="preserve"> — MALN facilitator</w:t>
                      </w:r>
                    </w:p>
                    <w:p w14:paraId="5F4662FB" w14:textId="77777777" w:rsidR="0085162E" w:rsidRPr="000B4AAE" w:rsidRDefault="0085162E" w:rsidP="00283A2E">
                      <w:pPr>
                        <w:pStyle w:val="NoSpacing"/>
                      </w:pPr>
                    </w:p>
                  </w:txbxContent>
                </v:textbox>
                <w10:wrap type="square" anchorx="margin"/>
              </v:shape>
            </w:pict>
          </mc:Fallback>
        </mc:AlternateContent>
      </w:r>
      <w:r w:rsidR="00DE6FC4">
        <w:t>MALN members focus</w:t>
      </w:r>
      <w:r w:rsidR="00637EBB">
        <w:t>ed</w:t>
      </w:r>
      <w:r w:rsidR="00DE6FC4">
        <w:t xml:space="preserve"> their work on four priority areas: (1) generative leadership, (2) innovative programming, (3) customer-centered experience, and (4) community-focused education. The group’s long-term goal is to advance </w:t>
      </w:r>
      <w:r w:rsidR="00DE6FC4" w:rsidRPr="005E766A">
        <w:t>family</w:t>
      </w:r>
      <w:r w:rsidR="00DE6FC4">
        <w:t>-centered</w:t>
      </w:r>
      <w:r w:rsidR="00DE6FC4" w:rsidRPr="005E766A">
        <w:t xml:space="preserve"> economic mobility</w:t>
      </w:r>
      <w:r w:rsidR="00DE6FC4">
        <w:t xml:space="preserve"> for all Mississippians by aligning public and private leaders’ values and priorities to equitably change the human services system. </w:t>
      </w:r>
    </w:p>
    <w:p w14:paraId="7675A184" w14:textId="3C8FB793" w:rsidR="0085162E" w:rsidRPr="0085162E" w:rsidRDefault="0085162E" w:rsidP="0085162E">
      <w:pPr>
        <w:pStyle w:val="Paragraph"/>
      </w:pPr>
      <w:r>
        <w:t>Members did not intend to achieve their long-term goal in two years, with one member noting that Mississippi has ranked 50th among states in poverty for a long time. However, MALN members reported progress in some of their priority areas and shared examples of policy changes that were based on what they learned during MALN meetings.</w:t>
      </w:r>
    </w:p>
    <w:bookmarkEnd w:id="20"/>
    <w:p w14:paraId="3D578960" w14:textId="47224B25" w:rsidR="00DE6FC4" w:rsidRDefault="00DE6FC4" w:rsidP="00C62EDF">
      <w:pPr>
        <w:pStyle w:val="Paragraph"/>
      </w:pPr>
      <w:r w:rsidRPr="00C62EDF">
        <w:rPr>
          <w:rStyle w:val="RunIn"/>
        </w:rPr>
        <w:t xml:space="preserve">Interviewed MALN members shared examples of policy changes that were based on MALN learnings. </w:t>
      </w:r>
      <w:r>
        <w:t>One agency planned to start a transportation program that uses TANF funds to provide vehicles for low-income families. This program was based on a West Virginia TANF program that the member learned about in a MALN meeting. In one MALN meeting, facilitators shared information on how West Virginia obtained donated vehicles and invested funds to make them roadworthy and available for TANF-eligible families.</w:t>
      </w:r>
    </w:p>
    <w:p w14:paraId="623E0EC0" w14:textId="564D4E00" w:rsidR="00DE6FC4" w:rsidRDefault="00322948" w:rsidP="00C62EDF">
      <w:pPr>
        <w:pStyle w:val="Paragraph"/>
      </w:pPr>
      <w:bookmarkStart w:id="21" w:name="progress"/>
      <w:bookmarkEnd w:id="21"/>
      <w:r w:rsidRPr="00C62EDF">
        <w:rPr>
          <w:noProof/>
        </w:rPr>
        <mc:AlternateContent>
          <mc:Choice Requires="wps">
            <w:drawing>
              <wp:anchor distT="91440" distB="91440" distL="114300" distR="114300" simplePos="0" relativeHeight="251711488" behindDoc="0" locked="0" layoutInCell="1" allowOverlap="1" wp14:anchorId="3A2275CE" wp14:editId="3E1345B6">
                <wp:simplePos x="0" y="0"/>
                <wp:positionH relativeFrom="margin">
                  <wp:posOffset>0</wp:posOffset>
                </wp:positionH>
                <wp:positionV relativeFrom="paragraph">
                  <wp:posOffset>1099820</wp:posOffset>
                </wp:positionV>
                <wp:extent cx="5943600" cy="1181100"/>
                <wp:effectExtent l="0" t="0" r="0" b="0"/>
                <wp:wrapSquare wrapText="bothSides"/>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3600" cy="1181100"/>
                        </a:xfrm>
                        <a:prstGeom prst="rect">
                          <a:avLst/>
                        </a:prstGeom>
                        <a:noFill/>
                        <a:ln w="6350">
                          <a:noFill/>
                        </a:ln>
                      </wps:spPr>
                      <wps:txbx>
                        <w:txbxContent>
                          <w:p w14:paraId="2BBF600D" w14:textId="77777777" w:rsidR="006D3502" w:rsidRDefault="006D3502" w:rsidP="006D3502">
                            <w:pPr>
                              <w:pStyle w:val="NoSpacing"/>
                            </w:pPr>
                            <w:r>
                              <w:rPr>
                                <w:noProof/>
                              </w:rPr>
                              <w:drawing>
                                <wp:inline distT="0" distB="0" distL="0" distR="0" wp14:anchorId="209BAD04" wp14:editId="0F4923D6">
                                  <wp:extent cx="1033272" cy="82296"/>
                                  <wp:effectExtent l="0" t="0" r="0" b="0"/>
                                  <wp:docPr id="71" name="Graphic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33272" cy="82296"/>
                                          </a:xfrm>
                                          <a:prstGeom prst="rect">
                                            <a:avLst/>
                                          </a:prstGeom>
                                        </pic:spPr>
                                      </pic:pic>
                                    </a:graphicData>
                                  </a:graphic>
                                </wp:inline>
                              </w:drawing>
                            </w:r>
                          </w:p>
                          <w:p w14:paraId="67D4A1B2" w14:textId="77777777" w:rsidR="006D3502" w:rsidRPr="00C62EDF" w:rsidRDefault="006D3502" w:rsidP="006D3502">
                            <w:pPr>
                              <w:pStyle w:val="Quote"/>
                            </w:pPr>
                            <w:r w:rsidRPr="00C62EDF">
                              <w:t xml:space="preserve">“Four years ago, when I first came on board as executive director [at my agency], [my agency] was operating solely in its own sphere, its own silo. And we have made significant strides developing relationships with </w:t>
                            </w:r>
                            <w:proofErr w:type="gramStart"/>
                            <w:r w:rsidRPr="00C62EDF">
                              <w:t>all of</w:t>
                            </w:r>
                            <w:proofErr w:type="gramEnd"/>
                            <w:r w:rsidRPr="00C62EDF">
                              <w:t xml:space="preserve"> our sister agencies and at least having regular conversations with them.”</w:t>
                            </w:r>
                          </w:p>
                          <w:p w14:paraId="634C14BC" w14:textId="77777777" w:rsidR="006D3502" w:rsidRPr="00CB4AFF" w:rsidRDefault="006D3502" w:rsidP="006D3502">
                            <w:pPr>
                              <w:pStyle w:val="QuoteAttribution"/>
                            </w:pPr>
                            <w:r>
                              <w:t>— MALN member</w:t>
                            </w:r>
                          </w:p>
                          <w:p w14:paraId="78C45FC9" w14:textId="77777777" w:rsidR="006D3502" w:rsidRPr="000B4AAE" w:rsidRDefault="006D3502" w:rsidP="006D3502">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275CE" id="Text Box 6" o:spid="_x0000_s1037" type="#_x0000_t202" alt="&quot;&quot;" style="position:absolute;margin-left:0;margin-top:86.6pt;width:468pt;height:93pt;z-index:2517114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" filled="f" stroked="f" strokeweight=".5pt">
                <v:textbox inset="0,0,0,0">
                  <w:txbxContent>
                    <w:p w14:paraId="2BBF600D" w14:textId="77777777" w:rsidR="006D3502" w:rsidRDefault="006D3502" w:rsidP="006D3502">
                      <w:pPr>
                        <w:pStyle w:val="NoSpacing"/>
                      </w:pPr>
                      <w:r>
                        <w:rPr>
                          <w:noProof/>
                        </w:rPr>
                        <w:drawing>
                          <wp:inline distT="0" distB="0" distL="0" distR="0" wp14:anchorId="209BAD04" wp14:editId="0F4923D6">
                            <wp:extent cx="1033272" cy="82296"/>
                            <wp:effectExtent l="0" t="0" r="0" b="0"/>
                            <wp:docPr id="71" name="Graphic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33272" cy="82296"/>
                                    </a:xfrm>
                                    <a:prstGeom prst="rect">
                                      <a:avLst/>
                                    </a:prstGeom>
                                  </pic:spPr>
                                </pic:pic>
                              </a:graphicData>
                            </a:graphic>
                          </wp:inline>
                        </w:drawing>
                      </w:r>
                    </w:p>
                    <w:p w14:paraId="67D4A1B2" w14:textId="77777777" w:rsidR="006D3502" w:rsidRPr="00C62EDF" w:rsidRDefault="006D3502" w:rsidP="006D3502">
                      <w:pPr>
                        <w:pStyle w:val="Quote"/>
                      </w:pPr>
                      <w:r w:rsidRPr="00C62EDF">
                        <w:t xml:space="preserve">“Four years ago, when I first came on board as executive director [at my agency], [my agency] was operating solely in its own sphere, its own silo. And we have made significant strides developing relationships with </w:t>
                      </w:r>
                      <w:proofErr w:type="gramStart"/>
                      <w:r w:rsidRPr="00C62EDF">
                        <w:t>all of</w:t>
                      </w:r>
                      <w:proofErr w:type="gramEnd"/>
                      <w:r w:rsidRPr="00C62EDF">
                        <w:t xml:space="preserve"> our sister agencies and at least having regular conversations with them.”</w:t>
                      </w:r>
                    </w:p>
                    <w:p w14:paraId="634C14BC" w14:textId="77777777" w:rsidR="006D3502" w:rsidRPr="00CB4AFF" w:rsidRDefault="006D3502" w:rsidP="006D3502">
                      <w:pPr>
                        <w:pStyle w:val="QuoteAttribution"/>
                      </w:pPr>
                      <w:r>
                        <w:t>— MALN member</w:t>
                      </w:r>
                    </w:p>
                    <w:p w14:paraId="78C45FC9" w14:textId="77777777" w:rsidR="006D3502" w:rsidRPr="000B4AAE" w:rsidRDefault="006D3502" w:rsidP="006D3502">
                      <w:pPr>
                        <w:pStyle w:val="NoSpacing"/>
                      </w:pPr>
                    </w:p>
                  </w:txbxContent>
                </v:textbox>
                <w10:wrap type="square" anchorx="margin"/>
              </v:shape>
            </w:pict>
          </mc:Fallback>
        </mc:AlternateContent>
      </w:r>
      <w:r w:rsidR="00DE6FC4" w:rsidRPr="00C62EDF">
        <w:rPr>
          <w:rStyle w:val="RunIn"/>
        </w:rPr>
        <w:t xml:space="preserve">MALN members reported progress in all four priority areas, with the most progress in generative leadership. </w:t>
      </w:r>
      <w:r w:rsidR="00DE6FC4">
        <w:t xml:space="preserve">All surveyed MALN members reported that the MALN made progress in all four priority areas. No one reported that the MALN made “no progress,” or “a lot of progress” in any priority area. As shown in figure 4, all six survey respondents reported that the MALN made the most progress in generative leadership. </w:t>
      </w:r>
    </w:p>
    <w:p w14:paraId="1E472E13" w14:textId="2D9F60B2" w:rsidR="006D3502" w:rsidRDefault="006D3502" w:rsidP="00C62EDF">
      <w:pPr>
        <w:pStyle w:val="Paragraph"/>
      </w:pPr>
    </w:p>
    <w:tbl>
      <w:tblPr>
        <w:tblStyle w:val="TanCell"/>
        <w:tblpPr w:leftFromText="187" w:rightFromText="187" w:topFromText="144" w:bottomFromText="144" w:vertAnchor="text" w:horzAnchor="margin" w:tblpY="15"/>
        <w:tblW w:w="9360" w:type="dxa"/>
        <w:tblLook w:val="04A0" w:firstRow="1" w:lastRow="0" w:firstColumn="1" w:lastColumn="0" w:noHBand="0" w:noVBand="1"/>
      </w:tblPr>
      <w:tblGrid>
        <w:gridCol w:w="9360"/>
      </w:tblGrid>
      <w:tr w:rsidR="004108FF" w14:paraId="4D2C1D2A" w14:textId="77777777" w:rsidTr="0002433C">
        <w:tc>
          <w:tcPr>
            <w:tcW w:w="5000" w:type="pct"/>
          </w:tcPr>
          <w:p w14:paraId="4F838EF4" w14:textId="46BCAF05" w:rsidR="004108FF" w:rsidRDefault="004108FF" w:rsidP="004E77B1">
            <w:pPr>
              <w:pStyle w:val="SidebarHead"/>
            </w:pPr>
            <w:r>
              <w:lastRenderedPageBreak/>
              <w:t>I</w:t>
            </w:r>
            <w:r w:rsidRPr="00DC2865">
              <w:t>ncreased knowledge sharing and communication</w:t>
            </w:r>
          </w:p>
          <w:p w14:paraId="051006B4" w14:textId="77777777" w:rsidR="004108FF" w:rsidRDefault="004108FF" w:rsidP="004E77B1">
            <w:pPr>
              <w:pStyle w:val="Sidebar"/>
            </w:pPr>
            <w:r w:rsidRPr="008A01A7">
              <w:t xml:space="preserve">A short-term outcome of the MALN is that by attending meetings, members will increase </w:t>
            </w:r>
            <w:r>
              <w:t xml:space="preserve">their collaboration through increased </w:t>
            </w:r>
            <w:r w:rsidRPr="008A01A7">
              <w:t>communication and knowledge sharing outside of meetings. Members</w:t>
            </w:r>
            <w:r w:rsidRPr="00C017F1">
              <w:t xml:space="preserve"> and facilitators </w:t>
            </w:r>
            <w:r>
              <w:t>said</w:t>
            </w:r>
            <w:r w:rsidRPr="00C017F1">
              <w:t xml:space="preserve"> that some members might have known each </w:t>
            </w:r>
            <w:r>
              <w:t xml:space="preserve">other </w:t>
            </w:r>
            <w:r w:rsidRPr="00C017F1">
              <w:t>by name</w:t>
            </w:r>
            <w:r>
              <w:t xml:space="preserve"> before</w:t>
            </w:r>
            <w:r w:rsidRPr="00C017F1">
              <w:t xml:space="preserve"> the MALN, but they did not meet face-to-face regularly.</w:t>
            </w:r>
          </w:p>
          <w:p w14:paraId="52DDD59F" w14:textId="77777777" w:rsidR="004108FF" w:rsidRDefault="004108FF" w:rsidP="004E77B1">
            <w:pPr>
              <w:pStyle w:val="Sidebar"/>
            </w:pPr>
            <w:r>
              <w:t>F</w:t>
            </w:r>
            <w:r w:rsidRPr="00C017F1">
              <w:t xml:space="preserve">ive out of six survey respondents agreed or strongly agreed that MALN participation increased the amount of knowledge sharing and communication between their agency and at least one other member agency outside of </w:t>
            </w:r>
            <w:r>
              <w:t xml:space="preserve">MALN </w:t>
            </w:r>
            <w:r w:rsidRPr="00C017F1">
              <w:t>meetings.</w:t>
            </w:r>
            <w:r>
              <w:t xml:space="preserve"> </w:t>
            </w:r>
          </w:p>
          <w:p w14:paraId="36EA14C8" w14:textId="23591160" w:rsidR="004108FF" w:rsidRPr="002267A4" w:rsidRDefault="004108FF" w:rsidP="004E77B1">
            <w:pPr>
              <w:pStyle w:val="Sidebar"/>
            </w:pPr>
            <w:r w:rsidRPr="00A136BB">
              <w:t xml:space="preserve">One member reported that five agencies have been meeting informally once a month outside of </w:t>
            </w:r>
            <w:r>
              <w:t xml:space="preserve">the </w:t>
            </w:r>
            <w:r w:rsidRPr="00A136BB">
              <w:t>MALN meetings to foster conversations among state agencies about working together.</w:t>
            </w:r>
            <w:r>
              <w:t xml:space="preserve"> Another member reported that their agency is partnering with another MALN agency to improve maternal and infant mortality outcomes for high-risk pregnant women on Medicaid and their children</w:t>
            </w:r>
            <w:r>
              <w:rPr>
                <w:rStyle w:val="CommentReference"/>
                <w:rFonts w:asciiTheme="minorHAnsi" w:hAnsiTheme="minorHAnsi"/>
                <w:color w:val="auto"/>
              </w:rPr>
              <w:t>—</w:t>
            </w:r>
            <w:r>
              <w:rPr>
                <w:rStyle w:val="CommentReference"/>
                <w:rFonts w:asciiTheme="minorHAnsi" w:hAnsiTheme="minorHAnsi"/>
              </w:rPr>
              <w:t xml:space="preserve">a </w:t>
            </w:r>
            <w:r>
              <w:t>partnership that resulted from relationships formed during MALN meetings.</w:t>
            </w:r>
          </w:p>
        </w:tc>
      </w:tr>
    </w:tbl>
    <w:p w14:paraId="43E47A6D" w14:textId="358E7FDB" w:rsidR="00DE6FC4" w:rsidRDefault="00DE6FC4" w:rsidP="004E77B1">
      <w:pPr>
        <w:pStyle w:val="NoSpacing"/>
        <w:rPr>
          <w:noProof/>
        </w:rPr>
      </w:pPr>
    </w:p>
    <w:tbl>
      <w:tblPr>
        <w:tblStyle w:val="GrayCell"/>
        <w:tblpPr w:leftFromText="187" w:rightFromText="187" w:topFromText="144" w:bottomFromText="144" w:vertAnchor="text" w:horzAnchor="margin" w:tblpY="15"/>
        <w:tblW w:w="9360" w:type="dxa"/>
        <w:tblCellMar>
          <w:left w:w="0" w:type="dxa"/>
          <w:right w:w="0" w:type="dxa"/>
        </w:tblCellMar>
        <w:tblLook w:val="04A0" w:firstRow="1" w:lastRow="0" w:firstColumn="1" w:lastColumn="0" w:noHBand="0" w:noVBand="1"/>
      </w:tblPr>
      <w:tblGrid>
        <w:gridCol w:w="9360"/>
      </w:tblGrid>
      <w:tr w:rsidR="004E77B1" w14:paraId="5729D426" w14:textId="77777777" w:rsidTr="00D83DF9">
        <w:tc>
          <w:tcPr>
            <w:tcW w:w="5000" w:type="pct"/>
            <w:shd w:val="clear" w:color="auto" w:fill="auto"/>
          </w:tcPr>
          <w:p w14:paraId="00AA9ED0" w14:textId="77777777" w:rsidR="004E77B1" w:rsidRDefault="004E77B1" w:rsidP="006D16C4">
            <w:pPr>
              <w:pStyle w:val="FigureTitle"/>
            </w:pPr>
            <w:r w:rsidRPr="006D16C4">
              <w:rPr>
                <w:b/>
                <w:bCs/>
              </w:rPr>
              <w:t xml:space="preserve">Figure 4. </w:t>
            </w:r>
            <w:r>
              <w:t>Progress on MALN priority areas</w:t>
            </w:r>
          </w:p>
          <w:p w14:paraId="34D1294A" w14:textId="5D7D0CF5" w:rsidR="006D16C4" w:rsidRPr="002267A4" w:rsidRDefault="00E47AD1" w:rsidP="00966BD8">
            <w:pPr>
              <w:pStyle w:val="ExhibitSource"/>
            </w:pPr>
            <w:r>
              <w:rPr>
                <w:noProof/>
              </w:rPr>
              <w:drawing>
                <wp:inline distT="0" distB="0" distL="0" distR="0" wp14:anchorId="2166EBCC" wp14:editId="36F3E145">
                  <wp:extent cx="5760720" cy="4919472"/>
                  <wp:effectExtent l="0" t="0" r="0" b="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760720" cy="4919472"/>
                          </a:xfrm>
                          <a:prstGeom prst="rect">
                            <a:avLst/>
                          </a:prstGeom>
                        </pic:spPr>
                      </pic:pic>
                    </a:graphicData>
                  </a:graphic>
                </wp:inline>
              </w:drawing>
            </w:r>
          </w:p>
        </w:tc>
      </w:tr>
    </w:tbl>
    <w:p w14:paraId="0AA22BE1" w14:textId="5908B82B" w:rsidR="00DE6FC4" w:rsidRDefault="00DE6FC4" w:rsidP="0035514A">
      <w:pPr>
        <w:pStyle w:val="H2"/>
        <w:spacing w:before="0"/>
        <w:ind w:left="0" w:firstLine="0"/>
      </w:pPr>
      <w:r w:rsidRPr="00992B0E">
        <w:lastRenderedPageBreak/>
        <w:t>What helped members make progress on the MALN road</w:t>
      </w:r>
      <w:r>
        <w:t xml:space="preserve"> </w:t>
      </w:r>
      <w:r w:rsidRPr="00992B0E">
        <w:t>map</w:t>
      </w:r>
      <w:r>
        <w:t>?</w:t>
      </w:r>
    </w:p>
    <w:tbl>
      <w:tblPr>
        <w:tblStyle w:val="TanCell"/>
        <w:tblpPr w:leftFromText="288" w:rightFromText="288" w:topFromText="144" w:bottomFromText="144" w:vertAnchor="text" w:horzAnchor="margin" w:tblpXSpec="right" w:tblpY="242"/>
        <w:tblW w:w="4752" w:type="dxa"/>
        <w:jc w:val="right"/>
        <w:tblLook w:val="04A0" w:firstRow="1" w:lastRow="0" w:firstColumn="1" w:lastColumn="0" w:noHBand="0" w:noVBand="1"/>
      </w:tblPr>
      <w:tblGrid>
        <w:gridCol w:w="4752"/>
      </w:tblGrid>
      <w:tr w:rsidR="0035514A" w14:paraId="1BBDB576" w14:textId="77777777" w:rsidTr="0035514A">
        <w:trPr>
          <w:jc w:val="right"/>
        </w:trPr>
        <w:tc>
          <w:tcPr>
            <w:tcW w:w="5000" w:type="pct"/>
          </w:tcPr>
          <w:p w14:paraId="26BF1CEF" w14:textId="77777777" w:rsidR="0035514A" w:rsidRDefault="0035514A" w:rsidP="0035514A">
            <w:pPr>
              <w:pStyle w:val="SidebarHead"/>
            </w:pPr>
            <w:r>
              <w:t>How did facilitators support members in implementing the road map?</w:t>
            </w:r>
          </w:p>
          <w:p w14:paraId="0CC5CFB3" w14:textId="77777777" w:rsidR="0035514A" w:rsidRPr="001E402A" w:rsidRDefault="0035514A" w:rsidP="0035514A">
            <w:pPr>
              <w:pStyle w:val="Sidebar"/>
            </w:pPr>
            <w:r>
              <w:t>Facilitators noted the importance of MALN members driving implementation of the road map. Facilitators saw their role as helping members develop a space of peer accountability, where members held each other responsible for making progress on the road map. Facilitators said they supported members in sharing and learning and brainstorming action items, but they did not task members with specific items to complete between meetings.</w:t>
            </w:r>
          </w:p>
        </w:tc>
      </w:tr>
    </w:tbl>
    <w:p w14:paraId="0A7A01C0" w14:textId="77FEAF68" w:rsidR="00DE6FC4" w:rsidRDefault="00DE6FC4" w:rsidP="0035514A">
      <w:pPr>
        <w:pStyle w:val="ParagraphContinued"/>
        <w:keepNext/>
        <w:keepLines/>
      </w:pPr>
      <w:r w:rsidRPr="006D16C4">
        <w:rPr>
          <w:rStyle w:val="RunIn"/>
        </w:rPr>
        <w:t xml:space="preserve">Attending MALN meetings, including creation of and monitoring of the road map. </w:t>
      </w:r>
      <w:r>
        <w:t>All six survey respondents reported that attending MALN meetings was somewhat or very helpful in making progress on the MALN goals. One interviewed member noted that attending MALN meetings helped leaders build relationships with each other across agencies. This member said that the long-term growth of Mississippi</w:t>
      </w:r>
      <w:r w:rsidR="0035514A">
        <w:t xml:space="preserve"> </w:t>
      </w:r>
      <w:r>
        <w:t>was dependent upon such relationships because agency leaders need to work together. In addition to attending meetings, five out of six survey respondents reported that having a MALN road map with a vision statement and desired future state and monitoring the MALN road map were somewhat or very helpful in making progress on the MALN goals.</w:t>
      </w:r>
    </w:p>
    <w:p w14:paraId="6573B5E7" w14:textId="77777777" w:rsidR="00DE6FC4" w:rsidRDefault="00DE6FC4" w:rsidP="006D16C4">
      <w:pPr>
        <w:pStyle w:val="Paragraph"/>
      </w:pPr>
      <w:r w:rsidRPr="006D16C4">
        <w:rPr>
          <w:rStyle w:val="RunIn"/>
        </w:rPr>
        <w:t xml:space="preserve">Sharing learnings with their staff. </w:t>
      </w:r>
      <w:r>
        <w:t>Five of six s</w:t>
      </w:r>
      <w:r w:rsidRPr="001F7BD8">
        <w:t>urvey respondents</w:t>
      </w:r>
      <w:r>
        <w:t xml:space="preserve"> </w:t>
      </w:r>
      <w:r w:rsidRPr="001F7BD8">
        <w:t>reported that sharing learning</w:t>
      </w:r>
      <w:r>
        <w:t>s</w:t>
      </w:r>
      <w:r w:rsidRPr="001F7BD8">
        <w:t xml:space="preserve"> with their agency staff was somewhat or very helpful </w:t>
      </w:r>
      <w:r>
        <w:t>for making progress on the MALN goals</w:t>
      </w:r>
      <w:r w:rsidRPr="001F7BD8">
        <w:t>.</w:t>
      </w:r>
      <w:r>
        <w:t xml:space="preserve"> Interviewed members also reported sharing learnings from MALN meetings with their staff. One </w:t>
      </w:r>
      <w:r w:rsidRPr="00D11AD6">
        <w:t xml:space="preserve">member </w:t>
      </w:r>
      <w:r>
        <w:t>who</w:t>
      </w:r>
      <w:r w:rsidRPr="000D4A2A">
        <w:t xml:space="preserve"> shar</w:t>
      </w:r>
      <w:r>
        <w:t>ed</w:t>
      </w:r>
      <w:r w:rsidRPr="000D4A2A">
        <w:t xml:space="preserve"> some MALN learnings</w:t>
      </w:r>
      <w:r>
        <w:t xml:space="preserve"> later reported that</w:t>
      </w:r>
      <w:r w:rsidRPr="00D11AD6">
        <w:t xml:space="preserve"> their</w:t>
      </w:r>
      <w:r>
        <w:t xml:space="preserve"> staff came up with the idea to provide Uber transportation to health care appointments. </w:t>
      </w:r>
    </w:p>
    <w:p w14:paraId="231645A6" w14:textId="77777777" w:rsidR="00DE6FC4" w:rsidRDefault="00DE6FC4" w:rsidP="006D16C4">
      <w:pPr>
        <w:pStyle w:val="Paragraph"/>
      </w:pPr>
      <w:r w:rsidRPr="006D16C4">
        <w:rPr>
          <w:rStyle w:val="RunIn"/>
        </w:rPr>
        <w:t xml:space="preserve">Holding leadership roles. </w:t>
      </w:r>
      <w:r>
        <w:t>Five of six survey respondents reported that their leadership role within their agency was somewhat or very helpful to making progress on the MALN goals</w:t>
      </w:r>
      <w:r w:rsidDel="002A108B">
        <w:t>.</w:t>
      </w:r>
      <w:r>
        <w:t xml:space="preserve"> One member shared that they had the necessary authority to implement a transportation program using TANF funds—something they learned about from a MALN meeting—because of their leadership position in their agency. </w:t>
      </w:r>
    </w:p>
    <w:p w14:paraId="287AA5E8" w14:textId="77777777" w:rsidR="00DE6FC4" w:rsidRDefault="00DE6FC4" w:rsidP="009C254A">
      <w:pPr>
        <w:pStyle w:val="H2"/>
      </w:pPr>
      <w:r>
        <w:t>What prevented members from making progress on the MALN road map?</w:t>
      </w:r>
    </w:p>
    <w:p w14:paraId="043B7C64" w14:textId="77777777" w:rsidR="00DE6FC4" w:rsidRPr="00B84FFC" w:rsidRDefault="00DE6FC4" w:rsidP="00C93DAE">
      <w:pPr>
        <w:pStyle w:val="ParagraphContinued"/>
        <w:rPr>
          <w:b/>
          <w:bCs/>
        </w:rPr>
      </w:pPr>
      <w:r w:rsidRPr="00C93DAE">
        <w:rPr>
          <w:rStyle w:val="RunIn"/>
        </w:rPr>
        <w:t xml:space="preserve">Lack of funding for implementation. </w:t>
      </w:r>
      <w:r>
        <w:t xml:space="preserve">All six survey respondents reported that not having enough funding made it challenging to make progress on the MALN goals. Interviewed members noted that their agencies had limited funding and that funding requirements often </w:t>
      </w:r>
      <w:r w:rsidRPr="003105FD">
        <w:t>complicated their ability to blend and braid funding. One member shared that federal</w:t>
      </w:r>
      <w:r>
        <w:t xml:space="preserve"> and state funding often has stringent requirements on its use, which leaves agencies with little room for collaboration. The MALN did not have a dedicated source of funding to support implementation of MALN action items. </w:t>
      </w:r>
    </w:p>
    <w:p w14:paraId="791FCA43" w14:textId="77777777" w:rsidR="00DE6FC4" w:rsidRPr="00C93DAE" w:rsidRDefault="00DE6FC4" w:rsidP="00C93DAE">
      <w:pPr>
        <w:pStyle w:val="Paragraph"/>
      </w:pPr>
      <w:r w:rsidRPr="00C93DAE">
        <w:rPr>
          <w:rStyle w:val="RunIn"/>
          <w:noProof/>
        </w:rPr>
        <mc:AlternateContent>
          <mc:Choice Requires="wps">
            <w:drawing>
              <wp:anchor distT="0" distB="0" distL="114300" distR="114300" simplePos="0" relativeHeight="251682816" behindDoc="0" locked="0" layoutInCell="1" allowOverlap="1" wp14:anchorId="2CEBF747" wp14:editId="5B7D55DC">
                <wp:simplePos x="0" y="0"/>
                <wp:positionH relativeFrom="margin">
                  <wp:posOffset>2851150</wp:posOffset>
                </wp:positionH>
                <wp:positionV relativeFrom="paragraph">
                  <wp:posOffset>38100</wp:posOffset>
                </wp:positionV>
                <wp:extent cx="3077845" cy="1193800"/>
                <wp:effectExtent l="0" t="0" r="8255" b="6350"/>
                <wp:wrapSquare wrapText="bothSides"/>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77845" cy="1193800"/>
                        </a:xfrm>
                        <a:prstGeom prst="rect">
                          <a:avLst/>
                        </a:prstGeom>
                        <a:noFill/>
                        <a:ln w="6350">
                          <a:noFill/>
                        </a:ln>
                      </wps:spPr>
                      <wps:txbx>
                        <w:txbxContent>
                          <w:p w14:paraId="6E408335" w14:textId="77777777" w:rsidR="00DE6FC4" w:rsidRDefault="00DE6FC4" w:rsidP="00DE6FC4">
                            <w:pPr>
                              <w:pStyle w:val="NoSpacing"/>
                            </w:pPr>
                            <w:r>
                              <w:rPr>
                                <w:noProof/>
                              </w:rPr>
                              <w:drawing>
                                <wp:inline distT="0" distB="0" distL="0" distR="0" wp14:anchorId="005AA743" wp14:editId="30CF6FDC">
                                  <wp:extent cx="1033272" cy="82296"/>
                                  <wp:effectExtent l="0" t="0" r="0" b="0"/>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33272" cy="82296"/>
                                          </a:xfrm>
                                          <a:prstGeom prst="rect">
                                            <a:avLst/>
                                          </a:prstGeom>
                                        </pic:spPr>
                                      </pic:pic>
                                    </a:graphicData>
                                  </a:graphic>
                                </wp:inline>
                              </w:drawing>
                            </w:r>
                          </w:p>
                          <w:p w14:paraId="3BF6811D" w14:textId="77777777" w:rsidR="00DE6FC4" w:rsidRPr="00C93DAE" w:rsidRDefault="00DE6FC4" w:rsidP="00C93DAE">
                            <w:pPr>
                              <w:pStyle w:val="Quote"/>
                            </w:pPr>
                            <w:r w:rsidRPr="00C93DAE">
                              <w:t xml:space="preserve">“The problem that we’re all going to have </w:t>
                            </w:r>
                            <w:proofErr w:type="gramStart"/>
                            <w:r w:rsidRPr="00C93DAE">
                              <w:t>is</w:t>
                            </w:r>
                            <w:proofErr w:type="gramEnd"/>
                            <w:r w:rsidRPr="00C93DAE">
                              <w:t xml:space="preserve"> operationalizing anything that we agree on, because we are all tremendously strapped for time and do not have any excess capacity.”</w:t>
                            </w:r>
                          </w:p>
                          <w:p w14:paraId="7AC40EEC" w14:textId="7454D53E" w:rsidR="00DE6FC4" w:rsidRPr="00CB4AFF" w:rsidRDefault="00C93DAE" w:rsidP="00DE6FC4">
                            <w:pPr>
                              <w:pStyle w:val="QuoteAttribution"/>
                            </w:pPr>
                            <w:r>
                              <w:t xml:space="preserve"> — </w:t>
                            </w:r>
                            <w:r w:rsidR="00DE6FC4">
                              <w:t>MALN member</w:t>
                            </w:r>
                          </w:p>
                          <w:p w14:paraId="4E7D6852" w14:textId="77777777" w:rsidR="00DE6FC4" w:rsidRPr="000B4AAE" w:rsidRDefault="00DE6FC4" w:rsidP="00DE6FC4">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BF747" id="Text Box 27" o:spid="_x0000_s1038" type="#_x0000_t202" alt="&quot;&quot;" style="position:absolute;margin-left:224.5pt;margin-top:3pt;width:242.35pt;height:9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" filled="f" stroked="f" strokeweight=".5pt">
                <v:textbox inset="0,0,0,0">
                  <w:txbxContent>
                    <w:p w14:paraId="6E408335" w14:textId="77777777" w:rsidR="00DE6FC4" w:rsidRDefault="00DE6FC4" w:rsidP="00DE6FC4">
                      <w:pPr>
                        <w:pStyle w:val="NoSpacing"/>
                      </w:pPr>
                      <w:r>
                        <w:rPr>
                          <w:noProof/>
                        </w:rPr>
                        <w:drawing>
                          <wp:inline distT="0" distB="0" distL="0" distR="0" wp14:anchorId="005AA743" wp14:editId="30CF6FDC">
                            <wp:extent cx="1033272" cy="82296"/>
                            <wp:effectExtent l="0" t="0" r="0" b="0"/>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33272" cy="82296"/>
                                    </a:xfrm>
                                    <a:prstGeom prst="rect">
                                      <a:avLst/>
                                    </a:prstGeom>
                                  </pic:spPr>
                                </pic:pic>
                              </a:graphicData>
                            </a:graphic>
                          </wp:inline>
                        </w:drawing>
                      </w:r>
                    </w:p>
                    <w:p w14:paraId="3BF6811D" w14:textId="77777777" w:rsidR="00DE6FC4" w:rsidRPr="00C93DAE" w:rsidRDefault="00DE6FC4" w:rsidP="00C93DAE">
                      <w:pPr>
                        <w:pStyle w:val="Quote"/>
                      </w:pPr>
                      <w:r w:rsidRPr="00C93DAE">
                        <w:t xml:space="preserve">“The problem that we’re all going to have </w:t>
                      </w:r>
                      <w:proofErr w:type="gramStart"/>
                      <w:r w:rsidRPr="00C93DAE">
                        <w:t>is</w:t>
                      </w:r>
                      <w:proofErr w:type="gramEnd"/>
                      <w:r w:rsidRPr="00C93DAE">
                        <w:t xml:space="preserve"> operationalizing anything that we agree on, because we are all tremendously strapped for time and do not have any excess capacity.”</w:t>
                      </w:r>
                    </w:p>
                    <w:p w14:paraId="7AC40EEC" w14:textId="7454D53E" w:rsidR="00DE6FC4" w:rsidRPr="00CB4AFF" w:rsidRDefault="00C93DAE" w:rsidP="00DE6FC4">
                      <w:pPr>
                        <w:pStyle w:val="QuoteAttribution"/>
                      </w:pPr>
                      <w:r>
                        <w:t xml:space="preserve"> — </w:t>
                      </w:r>
                      <w:r w:rsidR="00DE6FC4">
                        <w:t>MALN member</w:t>
                      </w:r>
                    </w:p>
                    <w:p w14:paraId="4E7D6852" w14:textId="77777777" w:rsidR="00DE6FC4" w:rsidRPr="000B4AAE" w:rsidRDefault="00DE6FC4" w:rsidP="00DE6FC4">
                      <w:pPr>
                        <w:pStyle w:val="NoSpacing"/>
                      </w:pPr>
                    </w:p>
                  </w:txbxContent>
                </v:textbox>
                <w10:wrap type="square" anchorx="margin"/>
              </v:shape>
            </w:pict>
          </mc:Fallback>
        </mc:AlternateContent>
      </w:r>
      <w:r w:rsidRPr="00C93DAE">
        <w:rPr>
          <w:rStyle w:val="RunIn"/>
        </w:rPr>
        <w:t xml:space="preserve">Work overload. </w:t>
      </w:r>
      <w:r w:rsidRPr="00C93DAE">
        <w:t xml:space="preserve">All six survey respondents reported that not having enough time and capacity made it challenging to make progress on the MALN goals. One member shared that having directors and deputies at the meetings was good to discuss strategy but that often staff below directors, like managers and direct service staff, are the ones who implement the strategy. Facilitators said that because directors often have limited time outside of meetings, they planned to finalize the road map with approval from directors before </w:t>
      </w:r>
      <w:r w:rsidRPr="00C93DAE">
        <w:lastRenderedPageBreak/>
        <w:t xml:space="preserve">developing work groups and bringing in other staff to support implementation. A facilitator noted that while they hope the MALN will establish work groups in the future to help with road map implementation, a focus of the MALN has been to first help members develop relationships with each other as state leaders—an important precursor for working together. </w:t>
      </w:r>
    </w:p>
    <w:p w14:paraId="539F668C" w14:textId="77777777" w:rsidR="00DE6FC4" w:rsidRPr="00D95F5C" w:rsidRDefault="00DE6FC4" w:rsidP="00162280">
      <w:pPr>
        <w:pStyle w:val="Paragraph"/>
        <w:keepNext/>
        <w:keepLines/>
      </w:pPr>
      <w:r w:rsidRPr="00C93DAE">
        <w:rPr>
          <w:rStyle w:val="RunIn"/>
        </w:rPr>
        <w:t xml:space="preserve">Lack of commitment from other agencies. </w:t>
      </w:r>
      <w:r w:rsidRPr="00D95F5C">
        <w:t xml:space="preserve">Five of six survey respondents reported that a lack of commitment from other state agencies in the MALN made it challenging to make progress. MALN members said a lack of consistent representation from all MALN agencies and organizations in meetings prevented them from making progress toward identified priorities and common goals. </w:t>
      </w:r>
    </w:p>
    <w:p w14:paraId="252DEC97" w14:textId="77777777" w:rsidR="00DE6FC4" w:rsidRPr="009E2246" w:rsidRDefault="00DE6FC4" w:rsidP="00C93DAE">
      <w:pPr>
        <w:pStyle w:val="Paragraph"/>
      </w:pPr>
      <w:r w:rsidRPr="009E2246">
        <w:t>MALN members provided the following recommendations for overcoming barriers to progress on the road map:</w:t>
      </w:r>
      <w:r>
        <w:t xml:space="preserve"> </w:t>
      </w:r>
    </w:p>
    <w:p w14:paraId="66154BFB" w14:textId="77777777" w:rsidR="00DE6FC4" w:rsidRPr="00E74C02" w:rsidRDefault="00DE6FC4" w:rsidP="00C93DAE">
      <w:pPr>
        <w:pStyle w:val="ListBullet1"/>
        <w:rPr>
          <w:rStyle w:val="RunIn"/>
        </w:rPr>
      </w:pPr>
      <w:r w:rsidRPr="00E74C02">
        <w:rPr>
          <w:rStyle w:val="RunIn"/>
        </w:rPr>
        <w:t>Continue meeting and having a regular dialogue.</w:t>
      </w:r>
    </w:p>
    <w:p w14:paraId="5A10DBEF" w14:textId="77777777" w:rsidR="00DE6FC4" w:rsidRPr="00E74C02" w:rsidRDefault="00DE6FC4" w:rsidP="00C93DAE">
      <w:pPr>
        <w:pStyle w:val="ListBullet1"/>
        <w:rPr>
          <w:rStyle w:val="RunIn"/>
        </w:rPr>
      </w:pPr>
      <w:r w:rsidRPr="00E74C02">
        <w:rPr>
          <w:rStyle w:val="RunIn"/>
        </w:rPr>
        <w:t>Include agency staff below directors in MALN meetings to develop a pipeline of future leaders and to support implementation of the road map.</w:t>
      </w:r>
    </w:p>
    <w:p w14:paraId="53D25469" w14:textId="77777777" w:rsidR="00DE6FC4" w:rsidRPr="00E74C02" w:rsidRDefault="00DE6FC4" w:rsidP="00C93DAE">
      <w:pPr>
        <w:pStyle w:val="ListBullet1"/>
        <w:rPr>
          <w:rStyle w:val="RunIn"/>
        </w:rPr>
      </w:pPr>
      <w:r w:rsidRPr="00E74C02">
        <w:rPr>
          <w:rStyle w:val="RunIn"/>
        </w:rPr>
        <w:t xml:space="preserve">Form work groups focused on implementing the road map. </w:t>
      </w:r>
    </w:p>
    <w:p w14:paraId="46FD3243" w14:textId="77777777" w:rsidR="00DE6FC4" w:rsidRPr="00E74C02" w:rsidRDefault="00DE6FC4" w:rsidP="00C93DAE">
      <w:pPr>
        <w:pStyle w:val="ListBullet1"/>
        <w:rPr>
          <w:rStyle w:val="RunIn"/>
        </w:rPr>
      </w:pPr>
      <w:r w:rsidRPr="00E74C02">
        <w:rPr>
          <w:rStyle w:val="RunIn"/>
        </w:rPr>
        <w:t xml:space="preserve">Pick one main objective for the MALN that is actionable rather than trying to do too much. </w:t>
      </w:r>
    </w:p>
    <w:p w14:paraId="7A7E0050" w14:textId="77777777" w:rsidR="00DE6FC4" w:rsidRPr="00E74C02" w:rsidRDefault="00DE6FC4" w:rsidP="00C93DAE">
      <w:pPr>
        <w:pStyle w:val="ListBullet1"/>
        <w:rPr>
          <w:rStyle w:val="RunIn"/>
        </w:rPr>
      </w:pPr>
      <w:r w:rsidRPr="00E74C02">
        <w:rPr>
          <w:rStyle w:val="RunIn"/>
        </w:rPr>
        <w:t>Identify and assign next steps between meetings.</w:t>
      </w:r>
    </w:p>
    <w:p w14:paraId="4EDF044F" w14:textId="09B92241" w:rsidR="00DE6FC4" w:rsidRPr="00015185" w:rsidRDefault="00A228B3" w:rsidP="00A228B3">
      <w:pPr>
        <w:pStyle w:val="H1"/>
        <w:ind w:left="540" w:hanging="540"/>
      </w:pPr>
      <w:r>
        <w:t>VII.</w:t>
      </w:r>
      <w:r>
        <w:tab/>
      </w:r>
      <w:r w:rsidR="00DE6FC4" w:rsidRPr="00015185">
        <w:t>What’s next for the MALN?</w:t>
      </w:r>
    </w:p>
    <w:p w14:paraId="5CB51F4B" w14:textId="77777777" w:rsidR="00DE6FC4" w:rsidRDefault="00DE6FC4" w:rsidP="00C93DAE">
      <w:pPr>
        <w:pStyle w:val="ParagraphContinued"/>
      </w:pPr>
      <w:r w:rsidRPr="005451A4">
        <w:t xml:space="preserve">Moving forward, MALN members hope to continue meeting and sustaining the </w:t>
      </w:r>
      <w:r>
        <w:t>work of the MALN on their own. APHSA facilitators said they were in conversations with funders about continuing to support the MALN past June 2024.</w:t>
      </w:r>
      <w:r w:rsidRPr="005451A4">
        <w:t xml:space="preserve"> </w:t>
      </w:r>
    </w:p>
    <w:p w14:paraId="2B7E5CDC" w14:textId="77777777" w:rsidR="00DE6FC4" w:rsidRPr="00C93DAE" w:rsidRDefault="00DE6FC4" w:rsidP="00C93DAE">
      <w:pPr>
        <w:pStyle w:val="Paragraph"/>
      </w:pPr>
      <w:r w:rsidRPr="00C93DAE">
        <w:rPr>
          <w:noProof/>
        </w:rPr>
        <mc:AlternateContent>
          <mc:Choice Requires="wps">
            <w:drawing>
              <wp:anchor distT="91440" distB="91440" distL="114300" distR="114300" simplePos="0" relativeHeight="251686912" behindDoc="0" locked="0" layoutInCell="1" allowOverlap="1" wp14:anchorId="337F4927" wp14:editId="1B8159EE">
                <wp:simplePos x="0" y="0"/>
                <wp:positionH relativeFrom="margin">
                  <wp:align>left</wp:align>
                </wp:positionH>
                <wp:positionV relativeFrom="paragraph">
                  <wp:posOffset>1069064</wp:posOffset>
                </wp:positionV>
                <wp:extent cx="5943600" cy="987552"/>
                <wp:effectExtent l="0" t="0" r="0" b="3175"/>
                <wp:wrapSquare wrapText="bothSides"/>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3600" cy="987552"/>
                        </a:xfrm>
                        <a:prstGeom prst="rect">
                          <a:avLst/>
                        </a:prstGeom>
                        <a:noFill/>
                        <a:ln w="6350">
                          <a:noFill/>
                        </a:ln>
                      </wps:spPr>
                      <wps:txbx>
                        <w:txbxContent>
                          <w:p w14:paraId="21031F72" w14:textId="77777777" w:rsidR="00DE6FC4" w:rsidRPr="000B4AAE" w:rsidRDefault="00DE6FC4" w:rsidP="00DE6FC4">
                            <w:pPr>
                              <w:pStyle w:val="NoSpacing"/>
                            </w:pPr>
                            <w:r>
                              <w:rPr>
                                <w:noProof/>
                              </w:rPr>
                              <w:drawing>
                                <wp:inline distT="0" distB="0" distL="0" distR="0" wp14:anchorId="3C3032A1" wp14:editId="20132A06">
                                  <wp:extent cx="1947672" cy="82296"/>
                                  <wp:effectExtent l="0" t="0" r="0" b="0"/>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947672" cy="82296"/>
                                          </a:xfrm>
                                          <a:prstGeom prst="rect">
                                            <a:avLst/>
                                          </a:prstGeom>
                                        </pic:spPr>
                                      </pic:pic>
                                    </a:graphicData>
                                  </a:graphic>
                                </wp:inline>
                              </w:drawing>
                            </w:r>
                          </w:p>
                          <w:p w14:paraId="0FDA1615" w14:textId="77777777" w:rsidR="00DE6FC4" w:rsidRPr="00C93DAE" w:rsidRDefault="00DE6FC4" w:rsidP="00C93DAE">
                            <w:pPr>
                              <w:pStyle w:val="Quote"/>
                            </w:pPr>
                            <w:r w:rsidRPr="00C93DAE">
                              <w:t>“The main goal is in essence that we [APHSA facilitators] can walk away and they [MALN members] have designed their own peer learning support system that will continue to function after this learning network is done.”</w:t>
                            </w:r>
                          </w:p>
                          <w:p w14:paraId="3C8DE9EA" w14:textId="72C20B94" w:rsidR="00DE6FC4" w:rsidRPr="00CB4AFF" w:rsidRDefault="00C93DAE" w:rsidP="00DE6FC4">
                            <w:pPr>
                              <w:pStyle w:val="QuoteAttribution"/>
                            </w:pPr>
                            <w:r>
                              <w:t xml:space="preserve"> — </w:t>
                            </w:r>
                            <w:r w:rsidR="00DE6FC4">
                              <w:t>MALN facilitator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F4927" id="Text Box 9" o:spid="_x0000_s1039" type="#_x0000_t202" alt="&quot;&quot;" style="position:absolute;margin-left:0;margin-top:84.2pt;width:468pt;height:77.75pt;z-index:251686912;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" filled="f" stroked="f" strokeweight=".5pt">
                <v:textbox inset="0,0,0,0">
                  <w:txbxContent>
                    <w:p w14:paraId="21031F72" w14:textId="77777777" w:rsidR="00DE6FC4" w:rsidRPr="000B4AAE" w:rsidRDefault="00DE6FC4" w:rsidP="00DE6FC4">
                      <w:pPr>
                        <w:pStyle w:val="NoSpacing"/>
                      </w:pPr>
                      <w:r>
                        <w:rPr>
                          <w:noProof/>
                        </w:rPr>
                        <w:drawing>
                          <wp:inline distT="0" distB="0" distL="0" distR="0" wp14:anchorId="3C3032A1" wp14:editId="20132A06">
                            <wp:extent cx="1947672" cy="82296"/>
                            <wp:effectExtent l="0" t="0" r="0" b="0"/>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947672" cy="82296"/>
                                    </a:xfrm>
                                    <a:prstGeom prst="rect">
                                      <a:avLst/>
                                    </a:prstGeom>
                                  </pic:spPr>
                                </pic:pic>
                              </a:graphicData>
                            </a:graphic>
                          </wp:inline>
                        </w:drawing>
                      </w:r>
                    </w:p>
                    <w:p w14:paraId="0FDA1615" w14:textId="77777777" w:rsidR="00DE6FC4" w:rsidRPr="00C93DAE" w:rsidRDefault="00DE6FC4" w:rsidP="00C93DAE">
                      <w:pPr>
                        <w:pStyle w:val="Quote"/>
                      </w:pPr>
                      <w:r w:rsidRPr="00C93DAE">
                        <w:t>“The main goal is in essence that we [APHSA facilitators] can walk away and they [MALN members] have designed their own peer learning support system that will continue to function after this learning network is done.”</w:t>
                      </w:r>
                    </w:p>
                    <w:p w14:paraId="3C8DE9EA" w14:textId="72C20B94" w:rsidR="00DE6FC4" w:rsidRPr="00CB4AFF" w:rsidRDefault="00C93DAE" w:rsidP="00DE6FC4">
                      <w:pPr>
                        <w:pStyle w:val="QuoteAttribution"/>
                      </w:pPr>
                      <w:r>
                        <w:t xml:space="preserve"> — </w:t>
                      </w:r>
                      <w:r w:rsidR="00DE6FC4">
                        <w:t>MALN facilitator</w:t>
                      </w:r>
                    </w:p>
                  </w:txbxContent>
                </v:textbox>
                <w10:wrap type="square" anchorx="margin"/>
              </v:shape>
            </w:pict>
          </mc:Fallback>
        </mc:AlternateContent>
      </w:r>
      <w:r w:rsidRPr="00C93DAE">
        <w:t xml:space="preserve">Two members said they hoped the MALN would continue to meet regularly on a permanent basis. Members also noted changes that they thought were necessary to sustain the MALN, including having members take ownership of the group and having agency staff support implementation of next steps. One member shared that, although having outside facilitators was helpful, the group must take ownership at some point and do this work themselves. </w:t>
      </w:r>
    </w:p>
    <w:p w14:paraId="29BD2AE1" w14:textId="77777777" w:rsidR="00DE6FC4" w:rsidRPr="00C93DAE" w:rsidRDefault="00DE6FC4" w:rsidP="00C93DAE">
      <w:pPr>
        <w:pStyle w:val="Paragraph"/>
      </w:pPr>
      <w:r w:rsidRPr="00C93DAE">
        <w:t>When asked what advice they would provide to other states on starting learning communities, members and facilitators offered the following recommendations:</w:t>
      </w:r>
    </w:p>
    <w:p w14:paraId="5922D41A" w14:textId="77777777" w:rsidR="00DE6FC4" w:rsidRPr="00E74C02" w:rsidRDefault="00DE6FC4" w:rsidP="00C93DAE">
      <w:pPr>
        <w:pStyle w:val="ListBullet1"/>
        <w:rPr>
          <w:rStyle w:val="RunIn"/>
        </w:rPr>
      </w:pPr>
      <w:r w:rsidRPr="00E74C02">
        <w:rPr>
          <w:rStyle w:val="RunIn"/>
        </w:rPr>
        <w:t xml:space="preserve">Two members noted that individuals get what they put into the MALN, so they would encourage others to participate in the MALN and be willing to invest their time and energy. </w:t>
      </w:r>
    </w:p>
    <w:p w14:paraId="282FC589" w14:textId="77777777" w:rsidR="00DE6FC4" w:rsidRPr="00E74C02" w:rsidRDefault="00DE6FC4" w:rsidP="00C93DAE">
      <w:pPr>
        <w:pStyle w:val="ListBullet1"/>
        <w:rPr>
          <w:rStyle w:val="RunIn"/>
        </w:rPr>
      </w:pPr>
      <w:r w:rsidRPr="00E74C02">
        <w:rPr>
          <w:rStyle w:val="RunIn"/>
        </w:rPr>
        <w:t>Another member recommended that members come with an open mind and be willing to have open and honest discussion.</w:t>
      </w:r>
    </w:p>
    <w:p w14:paraId="4BB9D550" w14:textId="77777777" w:rsidR="00DE6FC4" w:rsidRPr="00E74C02" w:rsidRDefault="00DE6FC4" w:rsidP="00C93DAE">
      <w:pPr>
        <w:pStyle w:val="ListBullet1"/>
        <w:rPr>
          <w:rStyle w:val="RunIn"/>
        </w:rPr>
      </w:pPr>
      <w:r w:rsidRPr="00E74C02">
        <w:rPr>
          <w:rStyle w:val="RunIn"/>
        </w:rPr>
        <w:lastRenderedPageBreak/>
        <w:t xml:space="preserve">Another member recommended that learning communities bring in different perspectives and models to move the work forward by inviting private sector and corporate leaders to discussions. </w:t>
      </w:r>
    </w:p>
    <w:p w14:paraId="33392EE9" w14:textId="77777777" w:rsidR="00DE6FC4" w:rsidRPr="00E74C02" w:rsidRDefault="00DE6FC4" w:rsidP="00C93DAE">
      <w:pPr>
        <w:pStyle w:val="ListBullet1"/>
        <w:rPr>
          <w:rStyle w:val="RunIn"/>
        </w:rPr>
      </w:pPr>
      <w:r w:rsidRPr="00E74C02">
        <w:rPr>
          <w:rStyle w:val="RunIn"/>
        </w:rPr>
        <w:t>APHSA facilitators said that flexibility and trust is key to this work.</w:t>
      </w:r>
    </w:p>
    <w:p w14:paraId="7EA04FFB" w14:textId="5525A4BF" w:rsidR="00311F51" w:rsidRDefault="00311F51" w:rsidP="00311F51">
      <w:pPr>
        <w:pStyle w:val="H2"/>
      </w:pPr>
      <w:bookmarkStart w:id="22" w:name="_Hlk168599957"/>
      <w:r>
        <w:t>Methodology</w:t>
      </w:r>
      <w:bookmarkEnd w:id="22"/>
    </w:p>
    <w:p w14:paraId="535E595D" w14:textId="51C145D1" w:rsidR="00DE6FC4" w:rsidRDefault="00DE6FC4" w:rsidP="00AD07F6">
      <w:pPr>
        <w:pStyle w:val="ParagraphContinued"/>
      </w:pPr>
      <w:r>
        <w:t>The findings in this brief are based on Mathematica data collection between February 2022 and 2024, including: (1) three focus groups with APHSA facilitators,</w:t>
      </w:r>
      <w:r w:rsidRPr="00BD1FFD">
        <w:t xml:space="preserve"> </w:t>
      </w:r>
      <w:r>
        <w:t>(2) interviews with four MALN members, (3) MALN member surveys, (4) meeting attendance records, and (5) meeting observations. Mathematica staff conducted focus groups with two APHSA facilitators in March 2022 (baseline), February 2023 (midline), and January 2024 (endline). Mathematica staff conducted interviews</w:t>
      </w:r>
      <w:r w:rsidRPr="00F97385">
        <w:t xml:space="preserve"> with</w:t>
      </w:r>
      <w:r>
        <w:t xml:space="preserve"> </w:t>
      </w:r>
      <w:r w:rsidRPr="00F97385">
        <w:t>MALN members</w:t>
      </w:r>
      <w:r>
        <w:t xml:space="preserve"> selected by APHSA facilitators in March 2023 (midline) and February 2024 (endline), for a total of seven interviews with four </w:t>
      </w:r>
      <w:r w:rsidRPr="00EE0302">
        <w:t xml:space="preserve">members who represented four different agencies. Mathematica interviewed </w:t>
      </w:r>
      <w:r w:rsidRPr="00DA76A8">
        <w:t xml:space="preserve">three of the </w:t>
      </w:r>
      <w:r w:rsidRPr="00EE0302">
        <w:t>same members during both</w:t>
      </w:r>
      <w:r>
        <w:t xml:space="preserve"> rounds of interviews. </w:t>
      </w:r>
    </w:p>
    <w:p w14:paraId="659732C7" w14:textId="77777777" w:rsidR="00DE6FC4" w:rsidRPr="00AD07F6" w:rsidRDefault="00DE6FC4" w:rsidP="00AD07F6">
      <w:pPr>
        <w:pStyle w:val="Paragraph"/>
      </w:pPr>
      <w:r w:rsidRPr="00AD07F6">
        <w:t xml:space="preserve">Mathematica sent a systems change survey to 16 MALN members from 10 agencies, between August and September 2023. Four MALN members from three agencies completed the survey. The study team designed the survey based on a framework with discussion questions developed by Mathematica and Equal Measure called the Self-Assessment of Place-Based Systems Change Efforts. The study team modified questions with input from APHSA facilitators to fit the context of the MALN. The study team also sent an endline survey between January and February 2024 to 12 MALN members from 10 agencies. Six MALN members from five agencies completed the survey. Mathematica sent both surveys to a list of MALN members approved by APHSA facilitators, who removed inactive members and agencies. </w:t>
      </w:r>
    </w:p>
    <w:p w14:paraId="2610446E" w14:textId="088519F2" w:rsidR="00311F51" w:rsidRDefault="00311F51" w:rsidP="00311F51">
      <w:pPr>
        <w:pStyle w:val="H2"/>
      </w:pPr>
      <w:bookmarkStart w:id="23" w:name="_Hlk167959072"/>
      <w:r>
        <w:t>Acknowledgments</w:t>
      </w:r>
    </w:p>
    <w:p w14:paraId="0474FD17" w14:textId="522D11CA" w:rsidR="00DE6FC4" w:rsidRDefault="00DE6FC4" w:rsidP="00AD07F6">
      <w:pPr>
        <w:pStyle w:val="ParagraphContinued"/>
      </w:pPr>
      <w:r>
        <w:t xml:space="preserve">The authors thank APHSA Facilitators Jennifer Kerr and Alex Figueroa for </w:t>
      </w:r>
      <w:r w:rsidRPr="00A82910">
        <w:t>their input on planning the evaluation</w:t>
      </w:r>
      <w:r>
        <w:t xml:space="preserve"> as well as</w:t>
      </w:r>
      <w:r w:rsidRPr="00A82910">
        <w:t xml:space="preserve"> Brandy Whisman, Christina </w:t>
      </w:r>
      <w:r>
        <w:t>B</w:t>
      </w:r>
      <w:r w:rsidRPr="00A82910">
        <w:t>ecker, and Ann Flagg at APHSA</w:t>
      </w:r>
      <w:r>
        <w:t>. The authors thank the MALN members. The evaluation would not have been possible without them sharing their feedback on the learning community through interviews, surveys, and allowing Mathematica staff to attend and observe their meetings.</w:t>
      </w:r>
      <w:r w:rsidRPr="00714B90">
        <w:t xml:space="preserve"> </w:t>
      </w:r>
      <w:r>
        <w:t>Lastly, the authors thank Gina Freeman for data collection support, Aden Bhagwat for note-taking support, Marykate Zukiewicz for project management support, Jon McCay and Matt Stagner for their guidance and quality assurance review, Bridget Gutierrez for editorial support, Sheryl Friedlander for production support, and Jon Owolabi for graphics support.</w:t>
      </w:r>
    </w:p>
    <w:p w14:paraId="171E1B6C" w14:textId="7E1CB55D" w:rsidR="00DE6FC4" w:rsidRDefault="00311F51" w:rsidP="00311F51">
      <w:pPr>
        <w:pStyle w:val="H2"/>
      </w:pPr>
      <w:bookmarkStart w:id="24" w:name="_Hlk167959339"/>
      <w:bookmarkStart w:id="25" w:name="_Hlk165970612"/>
      <w:bookmarkStart w:id="26" w:name="_Hlk167801840"/>
      <w:bookmarkEnd w:id="23"/>
      <w:r w:rsidRPr="00250D1D">
        <w:t>About Advancing Family and Economic Mobility</w:t>
      </w:r>
      <w:r>
        <w:t xml:space="preserve"> </w:t>
      </w:r>
      <w:r w:rsidR="00DE6FC4">
        <w:t xml:space="preserve"> </w:t>
      </w:r>
    </w:p>
    <w:bookmarkEnd w:id="24"/>
    <w:p w14:paraId="790EBD52" w14:textId="77777777" w:rsidR="00DE6FC4" w:rsidRPr="00015185" w:rsidRDefault="00DE6FC4" w:rsidP="00AD07F6">
      <w:pPr>
        <w:pStyle w:val="ParagraphContinued"/>
        <w:rPr>
          <w:rFonts w:ascii="Aptos" w:hAnsi="Aptos"/>
          <w:sz w:val="24"/>
          <w:szCs w:val="24"/>
        </w:rPr>
      </w:pPr>
      <w:r w:rsidRPr="00DA76A8">
        <w:t>Advancing Family and Economic Mobility (</w:t>
      </w:r>
      <w:r w:rsidRPr="00250D1D">
        <w:t>AFEM) is an initiative of APHSA that is committed to creating</w:t>
      </w:r>
      <w:r>
        <w:t xml:space="preserve"> sustainable pathways to economic mobility and well-being for all people and families. The AFEM network fosters new approaches to improving long-term, systemic economic mobility at all </w:t>
      </w:r>
      <w:r w:rsidRPr="00250D1D">
        <w:t>levels. To achieve this,</w:t>
      </w:r>
      <w:r>
        <w:t xml:space="preserve"> AFEM</w:t>
      </w:r>
      <w:r w:rsidRPr="00250D1D">
        <w:t xml:space="preserve"> </w:t>
      </w:r>
      <w:r>
        <w:t>is</w:t>
      </w:r>
      <w:r w:rsidRPr="00250D1D">
        <w:t xml:space="preserve"> build</w:t>
      </w:r>
      <w:r>
        <w:t>ing</w:t>
      </w:r>
      <w:r w:rsidRPr="00250D1D">
        <w:t xml:space="preserve"> a vetted repository of reproducible strategies and resources to share with agencies throughout the United States. For more information, visit</w:t>
      </w:r>
      <w:r>
        <w:t xml:space="preserve"> </w:t>
      </w:r>
      <w:hyperlink r:id="rId26" w:history="1">
        <w:r>
          <w:rPr>
            <w:rStyle w:val="Hyperlink"/>
          </w:rPr>
          <w:t>www.familyeconomicmobility.com</w:t>
        </w:r>
      </w:hyperlink>
      <w:r w:rsidRPr="00DA76A8">
        <w:rPr>
          <w:rStyle w:val="Hyperlink"/>
          <w:u w:val="none"/>
        </w:rPr>
        <w:t>.</w:t>
      </w:r>
      <w:r>
        <w:t xml:space="preserve"> </w:t>
      </w:r>
      <w:bookmarkEnd w:id="25"/>
    </w:p>
    <w:p w14:paraId="4581F0BE" w14:textId="77777777" w:rsidR="00DE6FC4" w:rsidRDefault="00DE6FC4" w:rsidP="00322948">
      <w:pPr>
        <w:pStyle w:val="H2"/>
      </w:pPr>
      <w:r>
        <w:lastRenderedPageBreak/>
        <w:t xml:space="preserve">In partnership with </w:t>
      </w:r>
    </w:p>
    <w:p w14:paraId="24FD8FE7" w14:textId="23979753" w:rsidR="00DE6FC4" w:rsidRDefault="00682246" w:rsidP="00322948">
      <w:pPr>
        <w:pStyle w:val="ParagraphContinued"/>
        <w:keepNext/>
        <w:keepLines/>
      </w:pPr>
      <w:r>
        <w:rPr>
          <w:noProof/>
        </w:rPr>
        <w:drawing>
          <wp:anchor distT="0" distB="0" distL="114300" distR="114300" simplePos="0" relativeHeight="251708416" behindDoc="0" locked="0" layoutInCell="1" allowOverlap="1" wp14:anchorId="09951C3A" wp14:editId="4D59AD56">
            <wp:simplePos x="0" y="0"/>
            <wp:positionH relativeFrom="column">
              <wp:posOffset>0</wp:posOffset>
            </wp:positionH>
            <wp:positionV relativeFrom="paragraph">
              <wp:posOffset>76200</wp:posOffset>
            </wp:positionV>
            <wp:extent cx="1600200" cy="548640"/>
            <wp:effectExtent l="0" t="0" r="0" b="3810"/>
            <wp:wrapSquare wrapText="bothSides"/>
            <wp:docPr id="75" name="Picture 75"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black background with white text&#10;&#10;Description automatically generated"/>
                    <pic:cNvPicPr/>
                  </pic:nvPicPr>
                  <pic:blipFill rotWithShape="1">
                    <a:blip r:embed="rId27" cstate="print">
                      <a:extLst>
                        <a:ext uri="{28A0092B-C50C-407E-A947-70E740481C1C}">
                          <a14:useLocalDpi xmlns:a14="http://schemas.microsoft.com/office/drawing/2010/main" val="0"/>
                        </a:ext>
                      </a:extLst>
                    </a:blip>
                    <a:srcRect t="24162" b="24140"/>
                    <a:stretch/>
                  </pic:blipFill>
                  <pic:spPr bwMode="auto">
                    <a:xfrm>
                      <a:off x="0" y="0"/>
                      <a:ext cx="160020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6FC4">
        <w:t xml:space="preserve">The </w:t>
      </w:r>
      <w:r w:rsidR="00DE6FC4" w:rsidRPr="00682246">
        <w:rPr>
          <w:rStyle w:val="RunIn"/>
        </w:rPr>
        <w:t>W.K. Kellogg Foundation</w:t>
      </w:r>
      <w:r w:rsidR="00DE6FC4">
        <w:t xml:space="preserve">, founded in 1930 by breakfast cereal innovator and entrepreneur Will Keith Kellogg, is among the largest philanthropic foundations in the United States. Guided by the belief that all children should have an equal opportunity to thrive, WKKF works with communities to create conditions for vulnerable children to realize their full potential in school, work, and life. WKKF is based in Battle Creek, Michigan, and works throughout the country and internationally as well as with sovereign Tribes. Special attention is paid to areas with high concentrations of poverty where children face significant barriers to success. For more information, visit </w:t>
      </w:r>
      <w:hyperlink r:id="rId28" w:history="1">
        <w:r w:rsidR="00DE6FC4">
          <w:rPr>
            <w:rStyle w:val="Hyperlink"/>
          </w:rPr>
          <w:t>www.wkkf.org</w:t>
        </w:r>
      </w:hyperlink>
      <w:r w:rsidR="00DE6FC4">
        <w:t xml:space="preserve">. </w:t>
      </w:r>
    </w:p>
    <w:p w14:paraId="53D135E3" w14:textId="03E5DCF8" w:rsidR="0056658A" w:rsidRDefault="00322948" w:rsidP="00E35A3D">
      <w:pPr>
        <w:pStyle w:val="Paragraph"/>
      </w:pPr>
      <w:r>
        <w:rPr>
          <w:noProof/>
        </w:rPr>
        <w:drawing>
          <wp:anchor distT="0" distB="0" distL="114300" distR="114300" simplePos="0" relativeHeight="251716608" behindDoc="0" locked="0" layoutInCell="1" allowOverlap="1" wp14:anchorId="245AD749" wp14:editId="51ED396F">
            <wp:simplePos x="0" y="0"/>
            <wp:positionH relativeFrom="column">
              <wp:posOffset>0</wp:posOffset>
            </wp:positionH>
            <wp:positionV relativeFrom="paragraph">
              <wp:posOffset>0</wp:posOffset>
            </wp:positionV>
            <wp:extent cx="1600200" cy="411480"/>
            <wp:effectExtent l="0" t="0" r="0" b="7620"/>
            <wp:wrapSquare wrapText="bothSides"/>
            <wp:docPr id="77" name="Picture 7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black and white logo&#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00200" cy="411480"/>
                    </a:xfrm>
                    <a:prstGeom prst="rect">
                      <a:avLst/>
                    </a:prstGeom>
                  </pic:spPr>
                </pic:pic>
              </a:graphicData>
            </a:graphic>
          </wp:anchor>
        </w:drawing>
      </w:r>
      <w:r w:rsidR="00DE6FC4">
        <w:t xml:space="preserve">Established in 1996, the </w:t>
      </w:r>
      <w:r w:rsidR="00DE6FC4" w:rsidRPr="00682246">
        <w:rPr>
          <w:rStyle w:val="RunIn"/>
        </w:rPr>
        <w:t>Doris Duke Foundation</w:t>
      </w:r>
      <w:r w:rsidR="00DE6FC4">
        <w:t xml:space="preserve"> (DDF) works to improve the quality of people’s lives through grants supporting the performing arts, environmental conservation, medical research, and child well-being. </w:t>
      </w:r>
      <w:r w:rsidR="00DE6FC4" w:rsidRPr="00647980">
        <w:t>DDF supports AFEM through its Child Well-being Program</w:t>
      </w:r>
      <w:r w:rsidR="00DE6FC4">
        <w:t xml:space="preserve">, which strives to strengthen and expand the capacity of social service systems that are collaborative and provide culturally appropriate, evidence-based, and context-specific prevention and treatment programs for parents and children. By strengthening the ability of existing social service systems to better serve those in places with sizeable inequities, more children and families can receive the essential supports and resources they need to pursue full, healthy, and happy lives. For more information, visit </w:t>
      </w:r>
      <w:hyperlink r:id="rId30" w:history="1">
        <w:r w:rsidR="00DE6FC4">
          <w:rPr>
            <w:rStyle w:val="Hyperlink"/>
          </w:rPr>
          <w:t>www.dorisduke.org</w:t>
        </w:r>
      </w:hyperlink>
      <w:r w:rsidR="00DE6FC4">
        <w:t>.</w:t>
      </w:r>
      <w:bookmarkEnd w:id="26"/>
    </w:p>
    <w:sectPr w:rsidR="0056658A" w:rsidSect="00CE29EA">
      <w:headerReference w:type="default" r:id="rId31"/>
      <w:footerReference w:type="default" r:id="rId32"/>
      <w:footerReference w:type="first" r:id="rId33"/>
      <w:type w:val="continuous"/>
      <w:pgSz w:w="12240" w:h="15840" w:code="1"/>
      <w:pgMar w:top="1440" w:right="1440" w:bottom="1440" w:left="1440" w:header="576" w:footer="576" w:gutter="0"/>
      <w:cols w:space="360"/>
      <w:titlePg/>
      <w:docGrid w:linePitch="299"/>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83745" w14:textId="77777777" w:rsidR="00DE6FC4" w:rsidRPr="007A11BD" w:rsidRDefault="00DE6FC4" w:rsidP="007A11BD">
      <w:pPr>
        <w:pStyle w:val="Anchor"/>
      </w:pPr>
    </w:p>
  </w:endnote>
  <w:endnote w:type="continuationSeparator" w:id="0">
    <w:p w14:paraId="37F45601" w14:textId="77777777" w:rsidR="00DE6FC4" w:rsidRPr="007A11BD" w:rsidRDefault="00DE6FC4" w:rsidP="007A11BD">
      <w:pPr>
        <w:pStyle w:val="Anchor"/>
      </w:pPr>
    </w:p>
  </w:endnote>
  <w:endnote w:type="continuationNotice" w:id="1">
    <w:p w14:paraId="5942C123" w14:textId="77777777" w:rsidR="00DE6FC4" w:rsidRDefault="00DE6FC4" w:rsidP="007A11BD">
      <w:pPr>
        <w:pStyle w:val="Ancho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41EA9" w14:textId="17A6996F" w:rsidR="00B600F7" w:rsidRDefault="00A57483" w:rsidP="00A57483">
    <w:pPr>
      <w:pStyle w:val="Footer"/>
    </w:pPr>
    <w:r w:rsidRPr="00C25C16">
      <w:t>Mathematica</w:t>
    </w:r>
    <w:r w:rsidRPr="00C25C16">
      <w:rPr>
        <w:vertAlign w:val="superscript"/>
      </w:rPr>
      <w:t>®</w:t>
    </w:r>
    <w:r w:rsidRPr="00C25C16">
      <w:t xml:space="preserve"> Inc.</w:t>
    </w:r>
    <w:r>
      <w:tab/>
    </w:r>
    <w:r w:rsidRPr="00967B6B">
      <w:fldChar w:fldCharType="begin"/>
    </w:r>
    <w:r w:rsidRPr="00967B6B">
      <w:instrText xml:space="preserve"> PAGE </w:instrText>
    </w:r>
    <w:r w:rsidRPr="00967B6B">
      <w:fldChar w:fldCharType="separate"/>
    </w:r>
    <w:r>
      <w:t>2</w:t>
    </w:r>
    <w:r w:rsidRPr="00967B6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06A9B" w14:textId="77777777" w:rsidR="00CE29EA" w:rsidRDefault="00CE29EA" w:rsidP="00CE29EA">
    <w:pPr>
      <w:pStyle w:val="Footer"/>
    </w:pPr>
    <w:r w:rsidRPr="00C25C16">
      <w:t>Mathematica</w:t>
    </w:r>
    <w:r w:rsidRPr="00C25C16">
      <w:rPr>
        <w:vertAlign w:val="superscript"/>
      </w:rPr>
      <w:t>®</w:t>
    </w:r>
    <w:r w:rsidRPr="00C25C16">
      <w:t xml:space="preserve"> Inc.</w:t>
    </w:r>
    <w:r>
      <w:tab/>
    </w:r>
    <w:r w:rsidRPr="00967B6B">
      <w:fldChar w:fldCharType="begin"/>
    </w:r>
    <w:r w:rsidRPr="00967B6B">
      <w:instrText xml:space="preserve"> PAGE </w:instrText>
    </w:r>
    <w:r w:rsidRPr="00967B6B">
      <w:fldChar w:fldCharType="separate"/>
    </w:r>
    <w:r>
      <w:t>2</w:t>
    </w:r>
    <w:r w:rsidRPr="00967B6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AB7EE" w14:textId="77777777" w:rsidR="00DE6FC4" w:rsidRPr="00CC6F21" w:rsidRDefault="00DE6FC4" w:rsidP="003842A6">
      <w:pPr>
        <w:pStyle w:val="FootnoteSep"/>
      </w:pPr>
      <w:r>
        <w:separator/>
      </w:r>
    </w:p>
  </w:footnote>
  <w:footnote w:type="continuationSeparator" w:id="0">
    <w:p w14:paraId="7E16C4A6" w14:textId="77777777" w:rsidR="00DE6FC4" w:rsidRPr="00CC6F21" w:rsidRDefault="00DE6FC4" w:rsidP="003842A6">
      <w:pPr>
        <w:pStyle w:val="FootnoteSep"/>
      </w:pPr>
      <w:r>
        <w:continuationSeparator/>
      </w:r>
    </w:p>
  </w:footnote>
  <w:footnote w:type="continuationNotice" w:id="1">
    <w:p w14:paraId="1E3E5903" w14:textId="77777777" w:rsidR="00DE6FC4" w:rsidRDefault="00DE6FC4" w:rsidP="003842A6">
      <w:pPr>
        <w:pStyle w:val="NoSpacing"/>
      </w:pPr>
    </w:p>
  </w:footnote>
  <w:footnote w:id="2">
    <w:p w14:paraId="1F5DADFA" w14:textId="77777777" w:rsidR="00DE6FC4" w:rsidRDefault="00DE6FC4" w:rsidP="00DE6FC4">
      <w:pPr>
        <w:pStyle w:val="FootnoteText"/>
      </w:pPr>
      <w:r>
        <w:rPr>
          <w:rStyle w:val="FootnoteReference"/>
        </w:rPr>
        <w:footnoteRef/>
      </w:r>
      <w:r>
        <w:t xml:space="preserve"> The American Community Survey 2022 1-Year Estimates indicates that the poverty rate for Mississippi is estimated at 19.1 percent, compared to 12.6 percent nationally. </w:t>
      </w:r>
    </w:p>
  </w:footnote>
  <w:footnote w:id="3">
    <w:p w14:paraId="5D3906FE" w14:textId="77777777" w:rsidR="003C062D" w:rsidRDefault="003C062D" w:rsidP="003C062D">
      <w:pPr>
        <w:pStyle w:val="FootnoteText"/>
      </w:pPr>
      <w:r w:rsidRPr="00911F82">
        <w:rPr>
          <w:rStyle w:val="FootnoteReference"/>
        </w:rPr>
        <w:footnoteRef/>
      </w:r>
      <w:r w:rsidRPr="00911F82">
        <w:t xml:space="preserve"> Kania</w:t>
      </w:r>
      <w:r w:rsidRPr="00DA76A8">
        <w:t>,</w:t>
      </w:r>
      <w:r w:rsidRPr="00911F82">
        <w:t xml:space="preserve"> John, Mark Kramer, and Peter Senge. “</w:t>
      </w:r>
      <w:hyperlink r:id="rId1" w:history="1">
        <w:r w:rsidRPr="00911F82">
          <w:t>The Water of Systems Change</w:t>
        </w:r>
      </w:hyperlink>
      <w:r w:rsidRPr="00911F82">
        <w:t>.” Boston, MA: FSG, June 2018.</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940E5" w14:textId="316FD7E1" w:rsidR="00E30461" w:rsidRDefault="00CE29EA">
    <w:pPr>
      <w:pStyle w:val="Header"/>
    </w:pPr>
    <w:r>
      <w:rPr>
        <w:b/>
        <w:bCs/>
      </w:rPr>
      <w:t>ISSUE BRIEF</w:t>
    </w:r>
    <w:r w:rsidR="00E30461" w:rsidRPr="00E30461">
      <w:rPr>
        <w:b/>
        <w:bCs/>
      </w:rPr>
      <w:t xml:space="preserve"> </w:t>
    </w:r>
    <w:r w:rsidR="00E30461">
      <w:t>Advancing Family Economic Mobility in Mississippi Through a Peer-to-Peer Statewide Learning Network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E2A98E"/>
    <w:lvl w:ilvl="0">
      <w:start w:val="1"/>
      <w:numFmt w:val="decimal"/>
      <w:pStyle w:val="ListNumber5"/>
      <w:lvlText w:val="%1."/>
      <w:lvlJc w:val="left"/>
      <w:pPr>
        <w:tabs>
          <w:tab w:val="num" w:pos="1800"/>
        </w:tabs>
        <w:ind w:left="1800" w:hanging="360"/>
      </w:pPr>
      <w:rPr>
        <w:rFonts w:hint="default"/>
      </w:rPr>
    </w:lvl>
  </w:abstractNum>
  <w:abstractNum w:abstractNumId="1" w15:restartNumberingAfterBreak="0">
    <w:nsid w:val="FFFFFF7D"/>
    <w:multiLevelType w:val="singleLevel"/>
    <w:tmpl w:val="4CE2E99C"/>
    <w:lvl w:ilvl="0">
      <w:start w:val="1"/>
      <w:numFmt w:val="decimal"/>
      <w:pStyle w:val="ListNumber4"/>
      <w:lvlText w:val="%1."/>
      <w:lvlJc w:val="left"/>
      <w:pPr>
        <w:tabs>
          <w:tab w:val="num" w:pos="1440"/>
        </w:tabs>
        <w:ind w:left="1440" w:hanging="360"/>
      </w:pPr>
      <w:rPr>
        <w:rFonts w:hint="default"/>
      </w:rPr>
    </w:lvl>
  </w:abstractNum>
  <w:abstractNum w:abstractNumId="2" w15:restartNumberingAfterBreak="0">
    <w:nsid w:val="FFFFFF7E"/>
    <w:multiLevelType w:val="singleLevel"/>
    <w:tmpl w:val="C16609D6"/>
    <w:lvl w:ilvl="0">
      <w:start w:val="1"/>
      <w:numFmt w:val="decimal"/>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662E6778"/>
    <w:lvl w:ilvl="0">
      <w:start w:val="1"/>
      <w:numFmt w:val="decimal"/>
      <w:pStyle w:val="ListNumber2"/>
      <w:lvlText w:val="%1."/>
      <w:lvlJc w:val="left"/>
      <w:pPr>
        <w:tabs>
          <w:tab w:val="num" w:pos="720"/>
        </w:tabs>
        <w:ind w:left="720" w:hanging="360"/>
      </w:pPr>
      <w:rPr>
        <w:rFonts w:hint="default"/>
      </w:rPr>
    </w:lvl>
  </w:abstractNum>
  <w:abstractNum w:abstractNumId="4" w15:restartNumberingAfterBreak="0">
    <w:nsid w:val="FFFFFF80"/>
    <w:multiLevelType w:val="singleLevel"/>
    <w:tmpl w:val="02B2D40C"/>
    <w:lvl w:ilvl="0">
      <w:start w:val="1"/>
      <w:numFmt w:val="bullet"/>
      <w:pStyle w:val="ListBullet5"/>
      <w:lvlText w:val=""/>
      <w:lvlJc w:val="left"/>
      <w:pPr>
        <w:tabs>
          <w:tab w:val="num" w:pos="2160"/>
        </w:tabs>
        <w:ind w:left="2160" w:hanging="360"/>
      </w:pPr>
      <w:rPr>
        <w:rFonts w:ascii="Symbol" w:hAnsi="Symbol" w:hint="default"/>
      </w:rPr>
    </w:lvl>
  </w:abstractNum>
  <w:abstractNum w:abstractNumId="5" w15:restartNumberingAfterBreak="0">
    <w:nsid w:val="FFFFFF81"/>
    <w:multiLevelType w:val="singleLevel"/>
    <w:tmpl w:val="8AC05C86"/>
    <w:lvl w:ilvl="0">
      <w:start w:val="1"/>
      <w:numFmt w:val="bullet"/>
      <w:pStyle w:val="ListBullet4"/>
      <w:lvlText w:val=""/>
      <w:lvlJc w:val="left"/>
      <w:pPr>
        <w:tabs>
          <w:tab w:val="num" w:pos="1800"/>
        </w:tabs>
        <w:ind w:left="1800" w:hanging="360"/>
      </w:pPr>
      <w:rPr>
        <w:rFonts w:ascii="Symbol" w:hAnsi="Symbol" w:hint="default"/>
      </w:rPr>
    </w:lvl>
  </w:abstractNum>
  <w:abstractNum w:abstractNumId="6" w15:restartNumberingAfterBreak="0">
    <w:nsid w:val="FFFFFF82"/>
    <w:multiLevelType w:val="singleLevel"/>
    <w:tmpl w:val="176CDE68"/>
    <w:lvl w:ilvl="0">
      <w:start w:val="1"/>
      <w:numFmt w:val="bullet"/>
      <w:pStyle w:val="ListBullet3"/>
      <w:lvlText w:val="o"/>
      <w:lvlJc w:val="left"/>
      <w:pPr>
        <w:tabs>
          <w:tab w:val="num" w:pos="540"/>
        </w:tabs>
        <w:ind w:left="540" w:hanging="180"/>
      </w:pPr>
      <w:rPr>
        <w:rFonts w:ascii="Courier New" w:hAnsi="Courier New" w:hint="default"/>
      </w:rPr>
    </w:lvl>
  </w:abstractNum>
  <w:abstractNum w:abstractNumId="7" w15:restartNumberingAfterBreak="0">
    <w:nsid w:val="FFFFFF83"/>
    <w:multiLevelType w:val="singleLevel"/>
    <w:tmpl w:val="E0E68996"/>
    <w:lvl w:ilvl="0">
      <w:start w:val="1"/>
      <w:numFmt w:val="bullet"/>
      <w:pStyle w:val="ListBullet2"/>
      <w:lvlText w:val="–"/>
      <w:lvlJc w:val="left"/>
      <w:pPr>
        <w:tabs>
          <w:tab w:val="num" w:pos="360"/>
        </w:tabs>
        <w:ind w:left="360" w:hanging="180"/>
      </w:pPr>
    </w:lvl>
  </w:abstractNum>
  <w:abstractNum w:abstractNumId="8" w15:restartNumberingAfterBreak="0">
    <w:nsid w:val="FFFFFF88"/>
    <w:multiLevelType w:val="singleLevel"/>
    <w:tmpl w:val="B0D0A774"/>
    <w:lvl w:ilvl="0">
      <w:start w:val="1"/>
      <w:numFmt w:val="decimal"/>
      <w:pStyle w:val="ListNumber"/>
      <w:lvlText w:val="%1."/>
      <w:lvlJc w:val="left"/>
      <w:pPr>
        <w:tabs>
          <w:tab w:val="num" w:pos="360"/>
        </w:tabs>
        <w:ind w:left="360" w:hanging="360"/>
      </w:pPr>
      <w:rPr>
        <w:rFonts w:hint="default"/>
        <w:b/>
        <w:i w:val="0"/>
        <w:color w:val="auto"/>
      </w:rPr>
    </w:lvl>
  </w:abstractNum>
  <w:abstractNum w:abstractNumId="9" w15:restartNumberingAfterBreak="0">
    <w:nsid w:val="FFFFFF89"/>
    <w:multiLevelType w:val="singleLevel"/>
    <w:tmpl w:val="3E106C4E"/>
    <w:lvl w:ilvl="0">
      <w:start w:val="1"/>
      <w:numFmt w:val="bullet"/>
      <w:pStyle w:val="ListBullet"/>
      <w:lvlText w:val=""/>
      <w:lvlJc w:val="left"/>
      <w:pPr>
        <w:tabs>
          <w:tab w:val="num" w:pos="180"/>
        </w:tabs>
        <w:ind w:left="180" w:hanging="180"/>
      </w:pPr>
      <w:rPr>
        <w:rFonts w:ascii="Symbol" w:hAnsi="Symbol" w:hint="default"/>
      </w:rPr>
    </w:lvl>
  </w:abstractNum>
  <w:abstractNum w:abstractNumId="10" w15:restartNumberingAfterBreak="0">
    <w:nsid w:val="03E50D66"/>
    <w:multiLevelType w:val="multilevel"/>
    <w:tmpl w:val="9D4AC124"/>
    <w:styleLink w:val="Feature2"/>
    <w:lvl w:ilvl="0">
      <w:start w:val="1"/>
      <w:numFmt w:val="decimal"/>
      <w:lvlText w:val="%1)"/>
      <w:lvlJc w:val="left"/>
      <w:pPr>
        <w:ind w:left="360" w:hanging="360"/>
      </w:pPr>
      <w:rPr>
        <w:b/>
        <w:color w:val="0B2949" w:themeColor="accen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7894E48"/>
    <w:multiLevelType w:val="hybridMultilevel"/>
    <w:tmpl w:val="7B26FD56"/>
    <w:lvl w:ilvl="0" w:tplc="5EFC5982">
      <w:start w:val="1"/>
      <w:numFmt w:val="bullet"/>
      <w:pStyle w:val="ListBullet1"/>
      <w:lvlText w:val="/"/>
      <w:lvlJc w:val="left"/>
      <w:pPr>
        <w:tabs>
          <w:tab w:val="num" w:pos="180"/>
        </w:tabs>
        <w:ind w:left="180" w:hanging="180"/>
      </w:pPr>
      <w:rPr>
        <w:rFonts w:ascii="Calibri" w:hAnsi="Calibri" w:hint="default"/>
        <w:b w:val="0"/>
        <w:i w:val="0"/>
        <w:color w:val="5B6771"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E56F9F"/>
    <w:multiLevelType w:val="hybridMultilevel"/>
    <w:tmpl w:val="AC1A0ACE"/>
    <w:lvl w:ilvl="0" w:tplc="E40402AC">
      <w:start w:val="1"/>
      <w:numFmt w:val="lowerLetter"/>
      <w:pStyle w:val="ListAlpha3"/>
      <w:lvlText w:val="%1."/>
      <w:lvlJc w:val="left"/>
      <w:pPr>
        <w:tabs>
          <w:tab w:val="num" w:pos="1080"/>
        </w:tabs>
        <w:ind w:left="1080" w:hanging="360"/>
      </w:pPr>
      <w:rPr>
        <w:rFonts w:asciiTheme="minorHAnsi" w:hAnsiTheme="minorHAnsi" w:cstheme="minorHAnsi"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FFF533D"/>
    <w:multiLevelType w:val="hybridMultilevel"/>
    <w:tmpl w:val="4508ACE0"/>
    <w:lvl w:ilvl="0" w:tplc="AF0E3784">
      <w:start w:val="1"/>
      <w:numFmt w:val="decimal"/>
      <w:pStyle w:val="TableListNumber2"/>
      <w:lvlText w:val="%1."/>
      <w:lvlJc w:val="left"/>
      <w:pPr>
        <w:tabs>
          <w:tab w:val="num" w:pos="432"/>
        </w:tabs>
        <w:ind w:left="432" w:hanging="216"/>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D20395"/>
    <w:multiLevelType w:val="multilevel"/>
    <w:tmpl w:val="481858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2DB1F41"/>
    <w:multiLevelType w:val="hybridMultilevel"/>
    <w:tmpl w:val="8C46F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ED3016"/>
    <w:multiLevelType w:val="hybridMultilevel"/>
    <w:tmpl w:val="37FAFE3C"/>
    <w:lvl w:ilvl="0" w:tplc="7228F856">
      <w:start w:val="1"/>
      <w:numFmt w:val="bullet"/>
      <w:pStyle w:val="TableList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C53CFC"/>
    <w:multiLevelType w:val="hybridMultilevel"/>
    <w:tmpl w:val="5DBA44F8"/>
    <w:lvl w:ilvl="0" w:tplc="F154CD68">
      <w:start w:val="1"/>
      <w:numFmt w:val="decimal"/>
      <w:pStyle w:val="TableListNumber"/>
      <w:lvlText w:val="%1."/>
      <w:lvlJc w:val="left"/>
      <w:pPr>
        <w:tabs>
          <w:tab w:val="num" w:pos="216"/>
        </w:tabs>
        <w:ind w:left="216" w:hanging="216"/>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A42806"/>
    <w:multiLevelType w:val="hybridMultilevel"/>
    <w:tmpl w:val="4364C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C700F5"/>
    <w:multiLevelType w:val="hybridMultilevel"/>
    <w:tmpl w:val="C28ABA4C"/>
    <w:lvl w:ilvl="0" w:tplc="FCA6086A">
      <w:start w:val="1"/>
      <w:numFmt w:val="bullet"/>
      <w:pStyle w:val="ESList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416409"/>
    <w:multiLevelType w:val="multilevel"/>
    <w:tmpl w:val="1D3A7F34"/>
    <w:lvl w:ilvl="0">
      <w:start w:val="1"/>
      <w:numFmt w:val="upperRoman"/>
      <w:pStyle w:val="List"/>
      <w:lvlText w:val="%1."/>
      <w:lvlJc w:val="left"/>
      <w:pPr>
        <w:ind w:left="720" w:hanging="720"/>
      </w:pPr>
      <w:rPr>
        <w:rFonts w:hint="default"/>
        <w:b/>
        <w:i w:val="0"/>
      </w:rPr>
    </w:lvl>
    <w:lvl w:ilvl="1">
      <w:start w:val="1"/>
      <w:numFmt w:val="upperLetter"/>
      <w:pStyle w:val="List2"/>
      <w:lvlText w:val="%2."/>
      <w:lvlJc w:val="left"/>
      <w:pPr>
        <w:tabs>
          <w:tab w:val="num" w:pos="720"/>
        </w:tabs>
        <w:ind w:left="1080" w:hanging="360"/>
      </w:pPr>
      <w:rPr>
        <w:rFonts w:hint="default"/>
      </w:rPr>
    </w:lvl>
    <w:lvl w:ilvl="2">
      <w:start w:val="1"/>
      <w:numFmt w:val="decimal"/>
      <w:pStyle w:val="List3"/>
      <w:lvlText w:val="%3."/>
      <w:lvlJc w:val="left"/>
      <w:pPr>
        <w:tabs>
          <w:tab w:val="num" w:pos="1080"/>
        </w:tabs>
        <w:ind w:left="1440" w:hanging="360"/>
      </w:pPr>
      <w:rPr>
        <w:rFonts w:hint="default"/>
      </w:rPr>
    </w:lvl>
    <w:lvl w:ilvl="3">
      <w:start w:val="1"/>
      <w:numFmt w:val="lowerLetter"/>
      <w:pStyle w:val="List4"/>
      <w:lvlText w:val="%4."/>
      <w:lvlJc w:val="left"/>
      <w:pPr>
        <w:tabs>
          <w:tab w:val="num" w:pos="1440"/>
        </w:tabs>
        <w:ind w:left="1800" w:hanging="360"/>
      </w:pPr>
      <w:rPr>
        <w:rFonts w:hint="default"/>
      </w:rPr>
    </w:lvl>
    <w:lvl w:ilvl="4">
      <w:start w:val="1"/>
      <w:numFmt w:val="lowerRoman"/>
      <w:pStyle w:val="List5"/>
      <w:lvlText w:val="%5."/>
      <w:lvlJc w:val="left"/>
      <w:pPr>
        <w:tabs>
          <w:tab w:val="num" w:pos="1800"/>
        </w:tabs>
        <w:ind w:left="2376" w:hanging="576"/>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21" w15:restartNumberingAfterBreak="0">
    <w:nsid w:val="33AC03F4"/>
    <w:multiLevelType w:val="hybridMultilevel"/>
    <w:tmpl w:val="D5AE2E1A"/>
    <w:lvl w:ilvl="0" w:tplc="1A6C1D0E">
      <w:start w:val="1"/>
      <w:numFmt w:val="bullet"/>
      <w:pStyle w:val="SidebarListBullet"/>
      <w:lvlText w:val=""/>
      <w:lvlJc w:val="left"/>
      <w:pPr>
        <w:tabs>
          <w:tab w:val="num" w:pos="288"/>
        </w:tabs>
        <w:ind w:left="288" w:hanging="288"/>
      </w:pPr>
      <w:rPr>
        <w:rFonts w:ascii="Symbol" w:hAnsi="Symbol" w:hint="default"/>
        <w:color w:val="5B6771" w:themeColor="accent3"/>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7655570"/>
    <w:multiLevelType w:val="hybridMultilevel"/>
    <w:tmpl w:val="0BBED9BE"/>
    <w:lvl w:ilvl="0" w:tplc="F4F02EBE">
      <w:start w:val="1"/>
      <w:numFmt w:val="bullet"/>
      <w:pStyle w:val="TableListBullet2"/>
      <w:lvlText w:val="–"/>
      <w:lvlJc w:val="left"/>
      <w:pPr>
        <w:tabs>
          <w:tab w:val="num" w:pos="432"/>
        </w:tabs>
        <w:ind w:left="432" w:hanging="216"/>
      </w:pPr>
    </w:lvl>
    <w:lvl w:ilvl="1" w:tplc="9ABE1BD8" w:tentative="1">
      <w:start w:val="1"/>
      <w:numFmt w:val="bullet"/>
      <w:lvlText w:val="o"/>
      <w:lvlJc w:val="left"/>
      <w:pPr>
        <w:ind w:left="1440" w:hanging="360"/>
      </w:pPr>
      <w:rPr>
        <w:rFonts w:ascii="Courier New" w:hAnsi="Courier New" w:hint="default"/>
      </w:rPr>
    </w:lvl>
    <w:lvl w:ilvl="2" w:tplc="B1F8FCF4" w:tentative="1">
      <w:start w:val="1"/>
      <w:numFmt w:val="bullet"/>
      <w:lvlText w:val=""/>
      <w:lvlJc w:val="left"/>
      <w:pPr>
        <w:ind w:left="2160" w:hanging="360"/>
      </w:pPr>
      <w:rPr>
        <w:rFonts w:ascii="Wingdings" w:hAnsi="Wingdings" w:hint="default"/>
      </w:rPr>
    </w:lvl>
    <w:lvl w:ilvl="3" w:tplc="D596536E" w:tentative="1">
      <w:start w:val="1"/>
      <w:numFmt w:val="bullet"/>
      <w:lvlText w:val=""/>
      <w:lvlJc w:val="left"/>
      <w:pPr>
        <w:ind w:left="2880" w:hanging="360"/>
      </w:pPr>
      <w:rPr>
        <w:rFonts w:ascii="Symbol" w:hAnsi="Symbol" w:hint="default"/>
      </w:rPr>
    </w:lvl>
    <w:lvl w:ilvl="4" w:tplc="323E026C" w:tentative="1">
      <w:start w:val="1"/>
      <w:numFmt w:val="bullet"/>
      <w:lvlText w:val="o"/>
      <w:lvlJc w:val="left"/>
      <w:pPr>
        <w:ind w:left="3600" w:hanging="360"/>
      </w:pPr>
      <w:rPr>
        <w:rFonts w:ascii="Courier New" w:hAnsi="Courier New" w:hint="default"/>
      </w:rPr>
    </w:lvl>
    <w:lvl w:ilvl="5" w:tplc="3E1E7924" w:tentative="1">
      <w:start w:val="1"/>
      <w:numFmt w:val="bullet"/>
      <w:lvlText w:val=""/>
      <w:lvlJc w:val="left"/>
      <w:pPr>
        <w:ind w:left="4320" w:hanging="360"/>
      </w:pPr>
      <w:rPr>
        <w:rFonts w:ascii="Wingdings" w:hAnsi="Wingdings" w:hint="default"/>
      </w:rPr>
    </w:lvl>
    <w:lvl w:ilvl="6" w:tplc="B9DCD844" w:tentative="1">
      <w:start w:val="1"/>
      <w:numFmt w:val="bullet"/>
      <w:lvlText w:val=""/>
      <w:lvlJc w:val="left"/>
      <w:pPr>
        <w:ind w:left="5040" w:hanging="360"/>
      </w:pPr>
      <w:rPr>
        <w:rFonts w:ascii="Symbol" w:hAnsi="Symbol" w:hint="default"/>
      </w:rPr>
    </w:lvl>
    <w:lvl w:ilvl="7" w:tplc="59C8A706" w:tentative="1">
      <w:start w:val="1"/>
      <w:numFmt w:val="bullet"/>
      <w:lvlText w:val="o"/>
      <w:lvlJc w:val="left"/>
      <w:pPr>
        <w:ind w:left="5760" w:hanging="360"/>
      </w:pPr>
      <w:rPr>
        <w:rFonts w:ascii="Courier New" w:hAnsi="Courier New" w:hint="default"/>
      </w:rPr>
    </w:lvl>
    <w:lvl w:ilvl="8" w:tplc="FB407354" w:tentative="1">
      <w:start w:val="1"/>
      <w:numFmt w:val="bullet"/>
      <w:lvlText w:val=""/>
      <w:lvlJc w:val="left"/>
      <w:pPr>
        <w:ind w:left="6480" w:hanging="360"/>
      </w:pPr>
      <w:rPr>
        <w:rFonts w:ascii="Wingdings" w:hAnsi="Wingdings" w:hint="default"/>
      </w:rPr>
    </w:lvl>
  </w:abstractNum>
  <w:abstractNum w:abstractNumId="23" w15:restartNumberingAfterBreak="0">
    <w:nsid w:val="3D16378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9D1990"/>
    <w:multiLevelType w:val="hybridMultilevel"/>
    <w:tmpl w:val="11C4FD16"/>
    <w:lvl w:ilvl="0" w:tplc="C214EA3A">
      <w:start w:val="1"/>
      <w:numFmt w:val="lowerLetter"/>
      <w:pStyle w:val="ListAlpha2"/>
      <w:lvlText w:val="%1."/>
      <w:lvlJc w:val="left"/>
      <w:pPr>
        <w:tabs>
          <w:tab w:val="num" w:pos="720"/>
        </w:tabs>
        <w:ind w:left="720" w:hanging="360"/>
      </w:pPr>
    </w:lvl>
    <w:lvl w:ilvl="1" w:tplc="E536F2EE" w:tentative="1">
      <w:start w:val="1"/>
      <w:numFmt w:val="lowerLetter"/>
      <w:lvlText w:val="%2."/>
      <w:lvlJc w:val="left"/>
      <w:pPr>
        <w:ind w:left="1800" w:hanging="360"/>
      </w:pPr>
    </w:lvl>
    <w:lvl w:ilvl="2" w:tplc="46C6B0FC" w:tentative="1">
      <w:start w:val="1"/>
      <w:numFmt w:val="lowerRoman"/>
      <w:lvlText w:val="%3."/>
      <w:lvlJc w:val="right"/>
      <w:pPr>
        <w:ind w:left="2520" w:hanging="180"/>
      </w:pPr>
    </w:lvl>
    <w:lvl w:ilvl="3" w:tplc="4FE0B10A" w:tentative="1">
      <w:start w:val="1"/>
      <w:numFmt w:val="decimal"/>
      <w:lvlText w:val="%4."/>
      <w:lvlJc w:val="left"/>
      <w:pPr>
        <w:ind w:left="3240" w:hanging="360"/>
      </w:pPr>
    </w:lvl>
    <w:lvl w:ilvl="4" w:tplc="6B32C604" w:tentative="1">
      <w:start w:val="1"/>
      <w:numFmt w:val="lowerLetter"/>
      <w:lvlText w:val="%5."/>
      <w:lvlJc w:val="left"/>
      <w:pPr>
        <w:ind w:left="3960" w:hanging="360"/>
      </w:pPr>
    </w:lvl>
    <w:lvl w:ilvl="5" w:tplc="3572A762" w:tentative="1">
      <w:start w:val="1"/>
      <w:numFmt w:val="lowerRoman"/>
      <w:lvlText w:val="%6."/>
      <w:lvlJc w:val="right"/>
      <w:pPr>
        <w:ind w:left="4680" w:hanging="180"/>
      </w:pPr>
    </w:lvl>
    <w:lvl w:ilvl="6" w:tplc="DE2014EA" w:tentative="1">
      <w:start w:val="1"/>
      <w:numFmt w:val="decimal"/>
      <w:lvlText w:val="%7."/>
      <w:lvlJc w:val="left"/>
      <w:pPr>
        <w:ind w:left="5400" w:hanging="360"/>
      </w:pPr>
    </w:lvl>
    <w:lvl w:ilvl="7" w:tplc="AB2C570C" w:tentative="1">
      <w:start w:val="1"/>
      <w:numFmt w:val="lowerLetter"/>
      <w:lvlText w:val="%8."/>
      <w:lvlJc w:val="left"/>
      <w:pPr>
        <w:ind w:left="6120" w:hanging="360"/>
      </w:pPr>
    </w:lvl>
    <w:lvl w:ilvl="8" w:tplc="FCEA6618" w:tentative="1">
      <w:start w:val="1"/>
      <w:numFmt w:val="lowerRoman"/>
      <w:lvlText w:val="%9."/>
      <w:lvlJc w:val="right"/>
      <w:pPr>
        <w:ind w:left="6840" w:hanging="180"/>
      </w:pPr>
    </w:lvl>
  </w:abstractNum>
  <w:abstractNum w:abstractNumId="25" w15:restartNumberingAfterBreak="0">
    <w:nsid w:val="4CB46582"/>
    <w:multiLevelType w:val="multilevel"/>
    <w:tmpl w:val="07C2E57A"/>
    <w:lvl w:ilvl="0">
      <w:start w:val="1"/>
      <w:numFmt w:val="upperLetter"/>
      <w:pStyle w:val="ListAlpha"/>
      <w:lvlText w:val="%1."/>
      <w:lvlJc w:val="left"/>
      <w:pPr>
        <w:ind w:left="360" w:hanging="360"/>
      </w:p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6" w15:restartNumberingAfterBreak="0">
    <w:nsid w:val="51A6124B"/>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55387DC8"/>
    <w:multiLevelType w:val="multilevel"/>
    <w:tmpl w:val="0CDA77FC"/>
    <w:lvl w:ilvl="0">
      <w:start w:val="1"/>
      <w:numFmt w:val="upperRoman"/>
      <w:lvlText w:val="%1"/>
      <w:lvlJc w:val="left"/>
      <w:pPr>
        <w:tabs>
          <w:tab w:val="num" w:pos="720"/>
        </w:tabs>
        <w:ind w:left="720" w:hanging="360"/>
      </w:pPr>
      <w:rPr>
        <w:rFonts w:hint="default"/>
      </w:rPr>
    </w:lvl>
    <w:lvl w:ilvl="1">
      <w:start w:val="1"/>
      <w:numFmt w:val="upperLetter"/>
      <w:pStyle w:val="Outline2"/>
      <w:lvlText w:val="%2."/>
      <w:lvlJc w:val="left"/>
      <w:pPr>
        <w:tabs>
          <w:tab w:val="num" w:pos="1080"/>
        </w:tabs>
        <w:ind w:left="1080" w:hanging="360"/>
      </w:pPr>
      <w:rPr>
        <w:rFonts w:hint="default"/>
      </w:rPr>
    </w:lvl>
    <w:lvl w:ilvl="2">
      <w:start w:val="1"/>
      <w:numFmt w:val="decimal"/>
      <w:pStyle w:val="Outline3"/>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2160"/>
        </w:tabs>
        <w:ind w:left="21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EE36962"/>
    <w:multiLevelType w:val="hybridMultilevel"/>
    <w:tmpl w:val="980A3E10"/>
    <w:lvl w:ilvl="0" w:tplc="8A1271EE">
      <w:start w:val="1"/>
      <w:numFmt w:val="decimal"/>
      <w:pStyle w:val="ESListNumber"/>
      <w:lvlText w:val="%1."/>
      <w:lvlJc w:val="left"/>
      <w:pPr>
        <w:tabs>
          <w:tab w:val="num" w:pos="360"/>
        </w:tabs>
        <w:ind w:left="360" w:hanging="360"/>
      </w:pPr>
      <w:rPr>
        <w:rFonts w:hint="default"/>
        <w:b/>
        <w:i w:val="0"/>
      </w:rPr>
    </w:lvl>
    <w:lvl w:ilvl="1" w:tplc="E6FE4D78" w:tentative="1">
      <w:start w:val="1"/>
      <w:numFmt w:val="lowerLetter"/>
      <w:lvlText w:val="%2."/>
      <w:lvlJc w:val="left"/>
      <w:pPr>
        <w:ind w:left="1440" w:hanging="360"/>
      </w:pPr>
    </w:lvl>
    <w:lvl w:ilvl="2" w:tplc="6052B4A2" w:tentative="1">
      <w:start w:val="1"/>
      <w:numFmt w:val="lowerRoman"/>
      <w:lvlText w:val="%3."/>
      <w:lvlJc w:val="right"/>
      <w:pPr>
        <w:ind w:left="2160" w:hanging="180"/>
      </w:pPr>
    </w:lvl>
    <w:lvl w:ilvl="3" w:tplc="2BBAC2D4" w:tentative="1">
      <w:start w:val="1"/>
      <w:numFmt w:val="decimal"/>
      <w:lvlText w:val="%4."/>
      <w:lvlJc w:val="left"/>
      <w:pPr>
        <w:ind w:left="2880" w:hanging="360"/>
      </w:pPr>
    </w:lvl>
    <w:lvl w:ilvl="4" w:tplc="C5248704" w:tentative="1">
      <w:start w:val="1"/>
      <w:numFmt w:val="lowerLetter"/>
      <w:lvlText w:val="%5."/>
      <w:lvlJc w:val="left"/>
      <w:pPr>
        <w:ind w:left="3600" w:hanging="360"/>
      </w:pPr>
    </w:lvl>
    <w:lvl w:ilvl="5" w:tplc="3690B6B2" w:tentative="1">
      <w:start w:val="1"/>
      <w:numFmt w:val="lowerRoman"/>
      <w:lvlText w:val="%6."/>
      <w:lvlJc w:val="right"/>
      <w:pPr>
        <w:ind w:left="4320" w:hanging="180"/>
      </w:pPr>
    </w:lvl>
    <w:lvl w:ilvl="6" w:tplc="780E26F6" w:tentative="1">
      <w:start w:val="1"/>
      <w:numFmt w:val="decimal"/>
      <w:lvlText w:val="%7."/>
      <w:lvlJc w:val="left"/>
      <w:pPr>
        <w:ind w:left="5040" w:hanging="360"/>
      </w:pPr>
    </w:lvl>
    <w:lvl w:ilvl="7" w:tplc="046E580C" w:tentative="1">
      <w:start w:val="1"/>
      <w:numFmt w:val="lowerLetter"/>
      <w:lvlText w:val="%8."/>
      <w:lvlJc w:val="left"/>
      <w:pPr>
        <w:ind w:left="5760" w:hanging="360"/>
      </w:pPr>
    </w:lvl>
    <w:lvl w:ilvl="8" w:tplc="40382734" w:tentative="1">
      <w:start w:val="1"/>
      <w:numFmt w:val="lowerRoman"/>
      <w:lvlText w:val="%9."/>
      <w:lvlJc w:val="right"/>
      <w:pPr>
        <w:ind w:left="6480" w:hanging="180"/>
      </w:pPr>
    </w:lvl>
  </w:abstractNum>
  <w:abstractNum w:abstractNumId="29" w15:restartNumberingAfterBreak="0">
    <w:nsid w:val="6A1A31F9"/>
    <w:multiLevelType w:val="singleLevel"/>
    <w:tmpl w:val="D45EA71A"/>
    <w:lvl w:ilvl="0">
      <w:start w:val="1"/>
      <w:numFmt w:val="decimal"/>
      <w:pStyle w:val="SidebarListNumber"/>
      <w:lvlText w:val="%1."/>
      <w:lvlJc w:val="left"/>
      <w:pPr>
        <w:tabs>
          <w:tab w:val="num" w:pos="576"/>
        </w:tabs>
        <w:ind w:left="576" w:hanging="288"/>
      </w:pPr>
      <w:rPr>
        <w:rFonts w:hint="default"/>
        <w:color w:val="5B6771" w:themeColor="accent3"/>
      </w:rPr>
    </w:lvl>
  </w:abstractNum>
  <w:abstractNum w:abstractNumId="30" w15:restartNumberingAfterBreak="0">
    <w:nsid w:val="6FF434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AD522FE"/>
    <w:multiLevelType w:val="hybridMultilevel"/>
    <w:tmpl w:val="449C8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3524893">
    <w:abstractNumId w:val="10"/>
  </w:num>
  <w:num w:numId="2" w16cid:durableId="458693862">
    <w:abstractNumId w:val="30"/>
  </w:num>
  <w:num w:numId="3" w16cid:durableId="904294637">
    <w:abstractNumId w:val="23"/>
  </w:num>
  <w:num w:numId="4" w16cid:durableId="2063164409">
    <w:abstractNumId w:val="26"/>
  </w:num>
  <w:num w:numId="5" w16cid:durableId="1004285544">
    <w:abstractNumId w:val="9"/>
  </w:num>
  <w:num w:numId="6" w16cid:durableId="1871411524">
    <w:abstractNumId w:val="8"/>
  </w:num>
  <w:num w:numId="7" w16cid:durableId="1963805252">
    <w:abstractNumId w:val="20"/>
  </w:num>
  <w:num w:numId="8" w16cid:durableId="845023676">
    <w:abstractNumId w:val="7"/>
  </w:num>
  <w:num w:numId="9" w16cid:durableId="1815681797">
    <w:abstractNumId w:val="6"/>
  </w:num>
  <w:num w:numId="10" w16cid:durableId="369456832">
    <w:abstractNumId w:val="5"/>
  </w:num>
  <w:num w:numId="11" w16cid:durableId="512572406">
    <w:abstractNumId w:val="4"/>
  </w:num>
  <w:num w:numId="12" w16cid:durableId="2100054984">
    <w:abstractNumId w:val="3"/>
  </w:num>
  <w:num w:numId="13" w16cid:durableId="1400254172">
    <w:abstractNumId w:val="2"/>
  </w:num>
  <w:num w:numId="14" w16cid:durableId="204221278">
    <w:abstractNumId w:val="1"/>
  </w:num>
  <w:num w:numId="15" w16cid:durableId="1063210555">
    <w:abstractNumId w:val="0"/>
  </w:num>
  <w:num w:numId="16" w16cid:durableId="401100817">
    <w:abstractNumId w:val="19"/>
  </w:num>
  <w:num w:numId="17" w16cid:durableId="154497235">
    <w:abstractNumId w:val="28"/>
  </w:num>
  <w:num w:numId="18" w16cid:durableId="552617016">
    <w:abstractNumId w:val="17"/>
  </w:num>
  <w:num w:numId="19" w16cid:durableId="1631743707">
    <w:abstractNumId w:val="16"/>
  </w:num>
  <w:num w:numId="20" w16cid:durableId="1965039050">
    <w:abstractNumId w:val="25"/>
  </w:num>
  <w:num w:numId="21" w16cid:durableId="238909924">
    <w:abstractNumId w:val="24"/>
  </w:num>
  <w:num w:numId="22" w16cid:durableId="255018379">
    <w:abstractNumId w:val="12"/>
  </w:num>
  <w:num w:numId="23" w16cid:durableId="742291920">
    <w:abstractNumId w:val="27"/>
  </w:num>
  <w:num w:numId="24" w16cid:durableId="363486531">
    <w:abstractNumId w:val="22"/>
  </w:num>
  <w:num w:numId="25" w16cid:durableId="2056729964">
    <w:abstractNumId w:val="13"/>
  </w:num>
  <w:num w:numId="26" w16cid:durableId="348217813">
    <w:abstractNumId w:val="29"/>
    <w:lvlOverride w:ilvl="0">
      <w:lvl w:ilvl="0">
        <w:start w:val="1"/>
        <w:numFmt w:val="decimal"/>
        <w:pStyle w:val="SidebarListNumber"/>
        <w:lvlText w:val="%1."/>
        <w:lvlJc w:val="left"/>
        <w:pPr>
          <w:tabs>
            <w:tab w:val="num" w:pos="288"/>
          </w:tabs>
          <w:ind w:left="288" w:hanging="288"/>
        </w:pPr>
      </w:lvl>
    </w:lvlOverride>
  </w:num>
  <w:num w:numId="27" w16cid:durableId="713038560">
    <w:abstractNumId w:val="11"/>
  </w:num>
  <w:num w:numId="28" w16cid:durableId="1330525296">
    <w:abstractNumId w:val="21"/>
  </w:num>
  <w:num w:numId="29" w16cid:durableId="1399403649">
    <w:abstractNumId w:val="15"/>
  </w:num>
  <w:num w:numId="30" w16cid:durableId="757869961">
    <w:abstractNumId w:val="18"/>
  </w:num>
  <w:num w:numId="31" w16cid:durableId="230893205">
    <w:abstractNumId w:val="31"/>
  </w:num>
  <w:num w:numId="32" w16cid:durableId="18678672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formatting="1" w:enforcement="0"/>
  <w:styleLockTheme/>
  <w:styleLockQFSet/>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spoo" w:val="False"/>
    <w:docVar w:name="notmodified" w:val="True"/>
    <w:docVar w:name="repetitions" w:val="26"/>
    <w:docVar w:name="stylepaneshow" w:val="True"/>
    <w:docVar w:name="ui" w:val="5"/>
  </w:docVars>
  <w:rsids>
    <w:rsidRoot w:val="00DE6FC4"/>
    <w:rsid w:val="00003A49"/>
    <w:rsid w:val="00004128"/>
    <w:rsid w:val="00004440"/>
    <w:rsid w:val="00004AAA"/>
    <w:rsid w:val="00004DCC"/>
    <w:rsid w:val="00004F9C"/>
    <w:rsid w:val="000058AC"/>
    <w:rsid w:val="00005CF0"/>
    <w:rsid w:val="00006014"/>
    <w:rsid w:val="00007013"/>
    <w:rsid w:val="00007690"/>
    <w:rsid w:val="000077E6"/>
    <w:rsid w:val="00007FE1"/>
    <w:rsid w:val="00011527"/>
    <w:rsid w:val="000118F9"/>
    <w:rsid w:val="00011A95"/>
    <w:rsid w:val="00011C81"/>
    <w:rsid w:val="0001315B"/>
    <w:rsid w:val="000138C0"/>
    <w:rsid w:val="000141EB"/>
    <w:rsid w:val="000150BC"/>
    <w:rsid w:val="00015394"/>
    <w:rsid w:val="0001543F"/>
    <w:rsid w:val="00015782"/>
    <w:rsid w:val="00015C89"/>
    <w:rsid w:val="00016C44"/>
    <w:rsid w:val="000200AA"/>
    <w:rsid w:val="00020AA8"/>
    <w:rsid w:val="00023F49"/>
    <w:rsid w:val="0002433C"/>
    <w:rsid w:val="000253BA"/>
    <w:rsid w:val="000261DB"/>
    <w:rsid w:val="00030403"/>
    <w:rsid w:val="0003072A"/>
    <w:rsid w:val="00030873"/>
    <w:rsid w:val="00031289"/>
    <w:rsid w:val="000336D2"/>
    <w:rsid w:val="00033A0E"/>
    <w:rsid w:val="00033B02"/>
    <w:rsid w:val="00033BA6"/>
    <w:rsid w:val="00034595"/>
    <w:rsid w:val="00034654"/>
    <w:rsid w:val="0003601C"/>
    <w:rsid w:val="00036CF4"/>
    <w:rsid w:val="000372E4"/>
    <w:rsid w:val="00037779"/>
    <w:rsid w:val="00037EEA"/>
    <w:rsid w:val="0004019D"/>
    <w:rsid w:val="00041BB4"/>
    <w:rsid w:val="00041CBC"/>
    <w:rsid w:val="000423EF"/>
    <w:rsid w:val="00042906"/>
    <w:rsid w:val="00042E05"/>
    <w:rsid w:val="000435F9"/>
    <w:rsid w:val="00043A6E"/>
    <w:rsid w:val="00044328"/>
    <w:rsid w:val="00044820"/>
    <w:rsid w:val="0004484A"/>
    <w:rsid w:val="00044BF0"/>
    <w:rsid w:val="0004548D"/>
    <w:rsid w:val="00045DC6"/>
    <w:rsid w:val="00046646"/>
    <w:rsid w:val="00047011"/>
    <w:rsid w:val="000472D2"/>
    <w:rsid w:val="000477EB"/>
    <w:rsid w:val="0005052A"/>
    <w:rsid w:val="000529B1"/>
    <w:rsid w:val="00053204"/>
    <w:rsid w:val="00053F99"/>
    <w:rsid w:val="000558D0"/>
    <w:rsid w:val="00056409"/>
    <w:rsid w:val="00056BBD"/>
    <w:rsid w:val="000579C7"/>
    <w:rsid w:val="000600CC"/>
    <w:rsid w:val="000600F5"/>
    <w:rsid w:val="00060D38"/>
    <w:rsid w:val="00061493"/>
    <w:rsid w:val="000615D4"/>
    <w:rsid w:val="00064CFB"/>
    <w:rsid w:val="000658FB"/>
    <w:rsid w:val="00065DE1"/>
    <w:rsid w:val="0006606A"/>
    <w:rsid w:val="00066EC1"/>
    <w:rsid w:val="000674D8"/>
    <w:rsid w:val="0006751B"/>
    <w:rsid w:val="0006758E"/>
    <w:rsid w:val="00067CE2"/>
    <w:rsid w:val="00070D5A"/>
    <w:rsid w:val="000719B9"/>
    <w:rsid w:val="000722B7"/>
    <w:rsid w:val="00073386"/>
    <w:rsid w:val="000743E2"/>
    <w:rsid w:val="0007481F"/>
    <w:rsid w:val="00075877"/>
    <w:rsid w:val="00076138"/>
    <w:rsid w:val="00076F23"/>
    <w:rsid w:val="00077169"/>
    <w:rsid w:val="000771F0"/>
    <w:rsid w:val="00081544"/>
    <w:rsid w:val="00081C49"/>
    <w:rsid w:val="00081F77"/>
    <w:rsid w:val="00082754"/>
    <w:rsid w:val="00082872"/>
    <w:rsid w:val="00084082"/>
    <w:rsid w:val="000840D8"/>
    <w:rsid w:val="00084318"/>
    <w:rsid w:val="00084E2C"/>
    <w:rsid w:val="00084FEF"/>
    <w:rsid w:val="00085342"/>
    <w:rsid w:val="0008613A"/>
    <w:rsid w:val="0008689E"/>
    <w:rsid w:val="00086E3E"/>
    <w:rsid w:val="0009030E"/>
    <w:rsid w:val="00090334"/>
    <w:rsid w:val="00090FC2"/>
    <w:rsid w:val="000910A5"/>
    <w:rsid w:val="000915A1"/>
    <w:rsid w:val="00091C1C"/>
    <w:rsid w:val="00091C8A"/>
    <w:rsid w:val="00091F8F"/>
    <w:rsid w:val="000925DC"/>
    <w:rsid w:val="00092A5F"/>
    <w:rsid w:val="00092AB2"/>
    <w:rsid w:val="000933D6"/>
    <w:rsid w:val="00093614"/>
    <w:rsid w:val="000943F6"/>
    <w:rsid w:val="00094C49"/>
    <w:rsid w:val="00095140"/>
    <w:rsid w:val="00095620"/>
    <w:rsid w:val="00095A1E"/>
    <w:rsid w:val="000973B6"/>
    <w:rsid w:val="00097653"/>
    <w:rsid w:val="00097BEE"/>
    <w:rsid w:val="00097CD7"/>
    <w:rsid w:val="000A28D0"/>
    <w:rsid w:val="000A39BA"/>
    <w:rsid w:val="000A3A29"/>
    <w:rsid w:val="000A413E"/>
    <w:rsid w:val="000A4398"/>
    <w:rsid w:val="000A47E1"/>
    <w:rsid w:val="000A6656"/>
    <w:rsid w:val="000A76F0"/>
    <w:rsid w:val="000B0716"/>
    <w:rsid w:val="000B0F54"/>
    <w:rsid w:val="000B1298"/>
    <w:rsid w:val="000B13D2"/>
    <w:rsid w:val="000B2065"/>
    <w:rsid w:val="000B24F4"/>
    <w:rsid w:val="000B29A2"/>
    <w:rsid w:val="000B4B97"/>
    <w:rsid w:val="000B4E8A"/>
    <w:rsid w:val="000B5483"/>
    <w:rsid w:val="000B5589"/>
    <w:rsid w:val="000B576F"/>
    <w:rsid w:val="000B57E8"/>
    <w:rsid w:val="000B5F26"/>
    <w:rsid w:val="000B7351"/>
    <w:rsid w:val="000B7A2E"/>
    <w:rsid w:val="000C151D"/>
    <w:rsid w:val="000C1988"/>
    <w:rsid w:val="000C2310"/>
    <w:rsid w:val="000C2957"/>
    <w:rsid w:val="000C2D1F"/>
    <w:rsid w:val="000C3EB8"/>
    <w:rsid w:val="000C3ED6"/>
    <w:rsid w:val="000C4AB7"/>
    <w:rsid w:val="000C55D5"/>
    <w:rsid w:val="000C614D"/>
    <w:rsid w:val="000C699A"/>
    <w:rsid w:val="000C6E87"/>
    <w:rsid w:val="000C7AE6"/>
    <w:rsid w:val="000C7C36"/>
    <w:rsid w:val="000D133A"/>
    <w:rsid w:val="000D1617"/>
    <w:rsid w:val="000D1B57"/>
    <w:rsid w:val="000D1FF5"/>
    <w:rsid w:val="000D2201"/>
    <w:rsid w:val="000D29F0"/>
    <w:rsid w:val="000D39A0"/>
    <w:rsid w:val="000D5895"/>
    <w:rsid w:val="000D6570"/>
    <w:rsid w:val="000D7265"/>
    <w:rsid w:val="000D76A7"/>
    <w:rsid w:val="000E0819"/>
    <w:rsid w:val="000E1243"/>
    <w:rsid w:val="000E24C8"/>
    <w:rsid w:val="000E2B56"/>
    <w:rsid w:val="000E2FBA"/>
    <w:rsid w:val="000E4DB0"/>
    <w:rsid w:val="000E5373"/>
    <w:rsid w:val="000E6867"/>
    <w:rsid w:val="000E782C"/>
    <w:rsid w:val="000F0883"/>
    <w:rsid w:val="000F0DB0"/>
    <w:rsid w:val="000F120F"/>
    <w:rsid w:val="000F249C"/>
    <w:rsid w:val="000F349E"/>
    <w:rsid w:val="000F45D6"/>
    <w:rsid w:val="000F45FC"/>
    <w:rsid w:val="000F4EC8"/>
    <w:rsid w:val="000F54AD"/>
    <w:rsid w:val="000F5520"/>
    <w:rsid w:val="000F5AB1"/>
    <w:rsid w:val="000F5D13"/>
    <w:rsid w:val="000F60D6"/>
    <w:rsid w:val="000F6BC9"/>
    <w:rsid w:val="000F79B8"/>
    <w:rsid w:val="00100A7A"/>
    <w:rsid w:val="0010121D"/>
    <w:rsid w:val="0010223E"/>
    <w:rsid w:val="001031E4"/>
    <w:rsid w:val="001035CC"/>
    <w:rsid w:val="0010390A"/>
    <w:rsid w:val="00103EA0"/>
    <w:rsid w:val="00104B2D"/>
    <w:rsid w:val="00105D76"/>
    <w:rsid w:val="00106426"/>
    <w:rsid w:val="00106572"/>
    <w:rsid w:val="00106A31"/>
    <w:rsid w:val="00106E64"/>
    <w:rsid w:val="001070D5"/>
    <w:rsid w:val="00110D5F"/>
    <w:rsid w:val="00110EE5"/>
    <w:rsid w:val="001113FE"/>
    <w:rsid w:val="00114550"/>
    <w:rsid w:val="00114998"/>
    <w:rsid w:val="001150FE"/>
    <w:rsid w:val="001153CD"/>
    <w:rsid w:val="00115541"/>
    <w:rsid w:val="00116A9A"/>
    <w:rsid w:val="00117869"/>
    <w:rsid w:val="0012038B"/>
    <w:rsid w:val="001204F5"/>
    <w:rsid w:val="00120790"/>
    <w:rsid w:val="00120D26"/>
    <w:rsid w:val="00121647"/>
    <w:rsid w:val="001217DE"/>
    <w:rsid w:val="001231CE"/>
    <w:rsid w:val="001233EA"/>
    <w:rsid w:val="00123601"/>
    <w:rsid w:val="00124FE1"/>
    <w:rsid w:val="00125B8F"/>
    <w:rsid w:val="00125DDF"/>
    <w:rsid w:val="00125FA2"/>
    <w:rsid w:val="00127176"/>
    <w:rsid w:val="001276A4"/>
    <w:rsid w:val="00127793"/>
    <w:rsid w:val="00127E44"/>
    <w:rsid w:val="001302BD"/>
    <w:rsid w:val="00131893"/>
    <w:rsid w:val="00131B01"/>
    <w:rsid w:val="00131E42"/>
    <w:rsid w:val="00132040"/>
    <w:rsid w:val="001342BA"/>
    <w:rsid w:val="001343B6"/>
    <w:rsid w:val="00134ABF"/>
    <w:rsid w:val="00135242"/>
    <w:rsid w:val="001360F2"/>
    <w:rsid w:val="00136129"/>
    <w:rsid w:val="001373E3"/>
    <w:rsid w:val="00137626"/>
    <w:rsid w:val="00140033"/>
    <w:rsid w:val="0014130E"/>
    <w:rsid w:val="00141AE3"/>
    <w:rsid w:val="00142249"/>
    <w:rsid w:val="00142CD5"/>
    <w:rsid w:val="00143B19"/>
    <w:rsid w:val="001450E4"/>
    <w:rsid w:val="00145DDD"/>
    <w:rsid w:val="00145F3A"/>
    <w:rsid w:val="00146BA5"/>
    <w:rsid w:val="00146EC1"/>
    <w:rsid w:val="0014793E"/>
    <w:rsid w:val="00147B6C"/>
    <w:rsid w:val="0015017A"/>
    <w:rsid w:val="0015141D"/>
    <w:rsid w:val="001521A9"/>
    <w:rsid w:val="001529D2"/>
    <w:rsid w:val="0015348D"/>
    <w:rsid w:val="00154E93"/>
    <w:rsid w:val="00155075"/>
    <w:rsid w:val="001555F7"/>
    <w:rsid w:val="00155E3E"/>
    <w:rsid w:val="001574E2"/>
    <w:rsid w:val="0016068B"/>
    <w:rsid w:val="001606FF"/>
    <w:rsid w:val="00161870"/>
    <w:rsid w:val="00162280"/>
    <w:rsid w:val="001637D8"/>
    <w:rsid w:val="0016400A"/>
    <w:rsid w:val="001645B2"/>
    <w:rsid w:val="001651BA"/>
    <w:rsid w:val="00165D3E"/>
    <w:rsid w:val="00165E54"/>
    <w:rsid w:val="001670F0"/>
    <w:rsid w:val="0016728D"/>
    <w:rsid w:val="001673B1"/>
    <w:rsid w:val="0017049A"/>
    <w:rsid w:val="001704C3"/>
    <w:rsid w:val="00171F3F"/>
    <w:rsid w:val="00172C36"/>
    <w:rsid w:val="00173FB5"/>
    <w:rsid w:val="0017490F"/>
    <w:rsid w:val="001757E7"/>
    <w:rsid w:val="00175899"/>
    <w:rsid w:val="00175EE8"/>
    <w:rsid w:val="00175F2E"/>
    <w:rsid w:val="00176C05"/>
    <w:rsid w:val="001776C2"/>
    <w:rsid w:val="0018145F"/>
    <w:rsid w:val="0018163F"/>
    <w:rsid w:val="001827DF"/>
    <w:rsid w:val="0018293B"/>
    <w:rsid w:val="00182B49"/>
    <w:rsid w:val="001830DD"/>
    <w:rsid w:val="001836E5"/>
    <w:rsid w:val="00184003"/>
    <w:rsid w:val="00184240"/>
    <w:rsid w:val="00185DBF"/>
    <w:rsid w:val="00185E30"/>
    <w:rsid w:val="001874BE"/>
    <w:rsid w:val="00190181"/>
    <w:rsid w:val="00190860"/>
    <w:rsid w:val="001922D2"/>
    <w:rsid w:val="001958C3"/>
    <w:rsid w:val="00195F41"/>
    <w:rsid w:val="0019753A"/>
    <w:rsid w:val="00197A02"/>
    <w:rsid w:val="001A02D9"/>
    <w:rsid w:val="001A0355"/>
    <w:rsid w:val="001A0708"/>
    <w:rsid w:val="001A074F"/>
    <w:rsid w:val="001A095C"/>
    <w:rsid w:val="001A1672"/>
    <w:rsid w:val="001A1F0A"/>
    <w:rsid w:val="001A1FA1"/>
    <w:rsid w:val="001A30A3"/>
    <w:rsid w:val="001A31EC"/>
    <w:rsid w:val="001A34A9"/>
    <w:rsid w:val="001A3C6A"/>
    <w:rsid w:val="001A3CA2"/>
    <w:rsid w:val="001A4946"/>
    <w:rsid w:val="001A6889"/>
    <w:rsid w:val="001A6F40"/>
    <w:rsid w:val="001A7419"/>
    <w:rsid w:val="001A770B"/>
    <w:rsid w:val="001A7BA2"/>
    <w:rsid w:val="001A7D76"/>
    <w:rsid w:val="001B07E9"/>
    <w:rsid w:val="001B13B1"/>
    <w:rsid w:val="001B1419"/>
    <w:rsid w:val="001B1499"/>
    <w:rsid w:val="001B1FCE"/>
    <w:rsid w:val="001B2563"/>
    <w:rsid w:val="001B30D0"/>
    <w:rsid w:val="001B398B"/>
    <w:rsid w:val="001B3F3D"/>
    <w:rsid w:val="001B3FDB"/>
    <w:rsid w:val="001B45EE"/>
    <w:rsid w:val="001B484A"/>
    <w:rsid w:val="001B5402"/>
    <w:rsid w:val="001B5915"/>
    <w:rsid w:val="001B5AE2"/>
    <w:rsid w:val="001B6905"/>
    <w:rsid w:val="001B6DCC"/>
    <w:rsid w:val="001B6FFC"/>
    <w:rsid w:val="001C0671"/>
    <w:rsid w:val="001C075D"/>
    <w:rsid w:val="001C3BCA"/>
    <w:rsid w:val="001C3F59"/>
    <w:rsid w:val="001C4356"/>
    <w:rsid w:val="001C4AAB"/>
    <w:rsid w:val="001C4DCF"/>
    <w:rsid w:val="001D062B"/>
    <w:rsid w:val="001D0FC5"/>
    <w:rsid w:val="001D1175"/>
    <w:rsid w:val="001D25DA"/>
    <w:rsid w:val="001D264A"/>
    <w:rsid w:val="001D30CB"/>
    <w:rsid w:val="001D469C"/>
    <w:rsid w:val="001D4B89"/>
    <w:rsid w:val="001D5E8F"/>
    <w:rsid w:val="001D6E23"/>
    <w:rsid w:val="001D7128"/>
    <w:rsid w:val="001D7656"/>
    <w:rsid w:val="001E1A71"/>
    <w:rsid w:val="001E2900"/>
    <w:rsid w:val="001E35E0"/>
    <w:rsid w:val="001E3AA5"/>
    <w:rsid w:val="001E4003"/>
    <w:rsid w:val="001E402A"/>
    <w:rsid w:val="001E5030"/>
    <w:rsid w:val="001E544A"/>
    <w:rsid w:val="001E5927"/>
    <w:rsid w:val="001E61E4"/>
    <w:rsid w:val="001E62B5"/>
    <w:rsid w:val="001E6964"/>
    <w:rsid w:val="001E7FFC"/>
    <w:rsid w:val="001F06D8"/>
    <w:rsid w:val="001F10F4"/>
    <w:rsid w:val="001F1194"/>
    <w:rsid w:val="001F18E0"/>
    <w:rsid w:val="001F1D96"/>
    <w:rsid w:val="001F2168"/>
    <w:rsid w:val="001F2597"/>
    <w:rsid w:val="001F33D2"/>
    <w:rsid w:val="001F38FC"/>
    <w:rsid w:val="001F4B06"/>
    <w:rsid w:val="001F4FFE"/>
    <w:rsid w:val="001F65A8"/>
    <w:rsid w:val="001F6E51"/>
    <w:rsid w:val="0020050F"/>
    <w:rsid w:val="00200A19"/>
    <w:rsid w:val="00200DC0"/>
    <w:rsid w:val="00201C47"/>
    <w:rsid w:val="002020D4"/>
    <w:rsid w:val="00202B6C"/>
    <w:rsid w:val="00202BC4"/>
    <w:rsid w:val="0020333E"/>
    <w:rsid w:val="00203918"/>
    <w:rsid w:val="002044AF"/>
    <w:rsid w:val="00204586"/>
    <w:rsid w:val="00205654"/>
    <w:rsid w:val="002058B8"/>
    <w:rsid w:val="0020636B"/>
    <w:rsid w:val="00207B4D"/>
    <w:rsid w:val="00207F4B"/>
    <w:rsid w:val="0021146A"/>
    <w:rsid w:val="00211532"/>
    <w:rsid w:val="002121EA"/>
    <w:rsid w:val="00212B22"/>
    <w:rsid w:val="00212BAB"/>
    <w:rsid w:val="00213758"/>
    <w:rsid w:val="00213980"/>
    <w:rsid w:val="00213CA8"/>
    <w:rsid w:val="00214FEA"/>
    <w:rsid w:val="00215E5E"/>
    <w:rsid w:val="00216541"/>
    <w:rsid w:val="00216757"/>
    <w:rsid w:val="00216C5F"/>
    <w:rsid w:val="002177E9"/>
    <w:rsid w:val="00217AA4"/>
    <w:rsid w:val="002214A1"/>
    <w:rsid w:val="0022232D"/>
    <w:rsid w:val="002225E7"/>
    <w:rsid w:val="0022286F"/>
    <w:rsid w:val="00222AA8"/>
    <w:rsid w:val="00222C00"/>
    <w:rsid w:val="0022368A"/>
    <w:rsid w:val="00223CF5"/>
    <w:rsid w:val="0022407C"/>
    <w:rsid w:val="002243B9"/>
    <w:rsid w:val="00224D2A"/>
    <w:rsid w:val="002251E8"/>
    <w:rsid w:val="00225261"/>
    <w:rsid w:val="00225CFC"/>
    <w:rsid w:val="00225F63"/>
    <w:rsid w:val="00230DB6"/>
    <w:rsid w:val="0023207B"/>
    <w:rsid w:val="002330D8"/>
    <w:rsid w:val="00233297"/>
    <w:rsid w:val="0023403C"/>
    <w:rsid w:val="002342C5"/>
    <w:rsid w:val="00235626"/>
    <w:rsid w:val="00235840"/>
    <w:rsid w:val="00236488"/>
    <w:rsid w:val="00236F48"/>
    <w:rsid w:val="0024044A"/>
    <w:rsid w:val="00241063"/>
    <w:rsid w:val="00241FA1"/>
    <w:rsid w:val="00242944"/>
    <w:rsid w:val="00242CF7"/>
    <w:rsid w:val="00243C1C"/>
    <w:rsid w:val="00244CD5"/>
    <w:rsid w:val="0024558C"/>
    <w:rsid w:val="00245C35"/>
    <w:rsid w:val="00245C5B"/>
    <w:rsid w:val="00245E02"/>
    <w:rsid w:val="00245F5B"/>
    <w:rsid w:val="00246294"/>
    <w:rsid w:val="00246C73"/>
    <w:rsid w:val="00246DD9"/>
    <w:rsid w:val="00250370"/>
    <w:rsid w:val="002503DF"/>
    <w:rsid w:val="00250721"/>
    <w:rsid w:val="002510C2"/>
    <w:rsid w:val="00251462"/>
    <w:rsid w:val="002517FC"/>
    <w:rsid w:val="002533ED"/>
    <w:rsid w:val="00253D22"/>
    <w:rsid w:val="00253D96"/>
    <w:rsid w:val="00254312"/>
    <w:rsid w:val="00254352"/>
    <w:rsid w:val="00254429"/>
    <w:rsid w:val="00255594"/>
    <w:rsid w:val="00256CB0"/>
    <w:rsid w:val="00257452"/>
    <w:rsid w:val="00257E1F"/>
    <w:rsid w:val="002602D0"/>
    <w:rsid w:val="0026037D"/>
    <w:rsid w:val="0026097C"/>
    <w:rsid w:val="00260B20"/>
    <w:rsid w:val="00261FCF"/>
    <w:rsid w:val="0026277A"/>
    <w:rsid w:val="0026279C"/>
    <w:rsid w:val="00265B3B"/>
    <w:rsid w:val="0026612F"/>
    <w:rsid w:val="002665DA"/>
    <w:rsid w:val="00267ABA"/>
    <w:rsid w:val="00267DC4"/>
    <w:rsid w:val="00270139"/>
    <w:rsid w:val="002705E4"/>
    <w:rsid w:val="00271DDE"/>
    <w:rsid w:val="002721E8"/>
    <w:rsid w:val="0027240C"/>
    <w:rsid w:val="00272570"/>
    <w:rsid w:val="00273689"/>
    <w:rsid w:val="00273D5C"/>
    <w:rsid w:val="00273E2C"/>
    <w:rsid w:val="002748E3"/>
    <w:rsid w:val="00275207"/>
    <w:rsid w:val="00275D7E"/>
    <w:rsid w:val="00275ED2"/>
    <w:rsid w:val="0028031D"/>
    <w:rsid w:val="0028066E"/>
    <w:rsid w:val="00280C09"/>
    <w:rsid w:val="00280FA5"/>
    <w:rsid w:val="002811E0"/>
    <w:rsid w:val="0028123D"/>
    <w:rsid w:val="00281499"/>
    <w:rsid w:val="00281D1A"/>
    <w:rsid w:val="00281DE7"/>
    <w:rsid w:val="00283204"/>
    <w:rsid w:val="00283514"/>
    <w:rsid w:val="002838B7"/>
    <w:rsid w:val="00283A02"/>
    <w:rsid w:val="00285E1D"/>
    <w:rsid w:val="002860ED"/>
    <w:rsid w:val="002861E9"/>
    <w:rsid w:val="00286567"/>
    <w:rsid w:val="0028762D"/>
    <w:rsid w:val="002909EE"/>
    <w:rsid w:val="00290ADF"/>
    <w:rsid w:val="00290B8A"/>
    <w:rsid w:val="002917F7"/>
    <w:rsid w:val="00292F53"/>
    <w:rsid w:val="00294864"/>
    <w:rsid w:val="0029489C"/>
    <w:rsid w:val="00295189"/>
    <w:rsid w:val="00296669"/>
    <w:rsid w:val="00296C51"/>
    <w:rsid w:val="002975A6"/>
    <w:rsid w:val="00297F46"/>
    <w:rsid w:val="002A0164"/>
    <w:rsid w:val="002A025E"/>
    <w:rsid w:val="002A09A7"/>
    <w:rsid w:val="002A0AC5"/>
    <w:rsid w:val="002A0C4E"/>
    <w:rsid w:val="002A0CD2"/>
    <w:rsid w:val="002A0DB0"/>
    <w:rsid w:val="002A0E95"/>
    <w:rsid w:val="002A131C"/>
    <w:rsid w:val="002A1F2C"/>
    <w:rsid w:val="002A2FF0"/>
    <w:rsid w:val="002A32E2"/>
    <w:rsid w:val="002A36F8"/>
    <w:rsid w:val="002A377A"/>
    <w:rsid w:val="002A418A"/>
    <w:rsid w:val="002A41B8"/>
    <w:rsid w:val="002A4BE8"/>
    <w:rsid w:val="002A51F3"/>
    <w:rsid w:val="002A59E8"/>
    <w:rsid w:val="002A6431"/>
    <w:rsid w:val="002A652D"/>
    <w:rsid w:val="002A6954"/>
    <w:rsid w:val="002B083C"/>
    <w:rsid w:val="002B0860"/>
    <w:rsid w:val="002B0E5C"/>
    <w:rsid w:val="002B0EE7"/>
    <w:rsid w:val="002B1EC4"/>
    <w:rsid w:val="002B34C9"/>
    <w:rsid w:val="002B3F25"/>
    <w:rsid w:val="002B4855"/>
    <w:rsid w:val="002B5406"/>
    <w:rsid w:val="002B551B"/>
    <w:rsid w:val="002B6D3C"/>
    <w:rsid w:val="002B6E26"/>
    <w:rsid w:val="002B71FC"/>
    <w:rsid w:val="002B767E"/>
    <w:rsid w:val="002C090F"/>
    <w:rsid w:val="002C1BCC"/>
    <w:rsid w:val="002C1CC2"/>
    <w:rsid w:val="002C2A0A"/>
    <w:rsid w:val="002C3499"/>
    <w:rsid w:val="002C34F7"/>
    <w:rsid w:val="002C3539"/>
    <w:rsid w:val="002C3557"/>
    <w:rsid w:val="002C3746"/>
    <w:rsid w:val="002C446E"/>
    <w:rsid w:val="002C4988"/>
    <w:rsid w:val="002C5DE4"/>
    <w:rsid w:val="002C6116"/>
    <w:rsid w:val="002C637C"/>
    <w:rsid w:val="002C6DA7"/>
    <w:rsid w:val="002C7A0A"/>
    <w:rsid w:val="002D0406"/>
    <w:rsid w:val="002D04C8"/>
    <w:rsid w:val="002D061A"/>
    <w:rsid w:val="002D26ED"/>
    <w:rsid w:val="002D2A10"/>
    <w:rsid w:val="002D36F6"/>
    <w:rsid w:val="002D4533"/>
    <w:rsid w:val="002D4865"/>
    <w:rsid w:val="002D4CAA"/>
    <w:rsid w:val="002D70AE"/>
    <w:rsid w:val="002D7125"/>
    <w:rsid w:val="002D7812"/>
    <w:rsid w:val="002D7FB8"/>
    <w:rsid w:val="002E0109"/>
    <w:rsid w:val="002E01BF"/>
    <w:rsid w:val="002E04BC"/>
    <w:rsid w:val="002E090D"/>
    <w:rsid w:val="002E101E"/>
    <w:rsid w:val="002E180E"/>
    <w:rsid w:val="002E2170"/>
    <w:rsid w:val="002E281A"/>
    <w:rsid w:val="002E3307"/>
    <w:rsid w:val="002E385A"/>
    <w:rsid w:val="002E3C87"/>
    <w:rsid w:val="002E4949"/>
    <w:rsid w:val="002E53C1"/>
    <w:rsid w:val="002E6446"/>
    <w:rsid w:val="002E6470"/>
    <w:rsid w:val="002E6ADE"/>
    <w:rsid w:val="002E6B89"/>
    <w:rsid w:val="002E6E25"/>
    <w:rsid w:val="002E72B7"/>
    <w:rsid w:val="002E7C18"/>
    <w:rsid w:val="002F09F0"/>
    <w:rsid w:val="002F1308"/>
    <w:rsid w:val="002F1A0C"/>
    <w:rsid w:val="002F1D06"/>
    <w:rsid w:val="002F2A3D"/>
    <w:rsid w:val="002F3BC4"/>
    <w:rsid w:val="002F4709"/>
    <w:rsid w:val="002F472F"/>
    <w:rsid w:val="002F610F"/>
    <w:rsid w:val="002F7249"/>
    <w:rsid w:val="002F7E21"/>
    <w:rsid w:val="00300CC6"/>
    <w:rsid w:val="003012F0"/>
    <w:rsid w:val="00301AC3"/>
    <w:rsid w:val="0030206C"/>
    <w:rsid w:val="00302771"/>
    <w:rsid w:val="003029EF"/>
    <w:rsid w:val="00302D51"/>
    <w:rsid w:val="00302E84"/>
    <w:rsid w:val="003039E0"/>
    <w:rsid w:val="0030412C"/>
    <w:rsid w:val="003049D5"/>
    <w:rsid w:val="00304F55"/>
    <w:rsid w:val="0030642E"/>
    <w:rsid w:val="00306985"/>
    <w:rsid w:val="00306AC0"/>
    <w:rsid w:val="003074E0"/>
    <w:rsid w:val="00307A7C"/>
    <w:rsid w:val="003101A9"/>
    <w:rsid w:val="0031043A"/>
    <w:rsid w:val="00310DA1"/>
    <w:rsid w:val="00310E79"/>
    <w:rsid w:val="00310FB2"/>
    <w:rsid w:val="00311676"/>
    <w:rsid w:val="00311E7C"/>
    <w:rsid w:val="00311F51"/>
    <w:rsid w:val="00312720"/>
    <w:rsid w:val="00312729"/>
    <w:rsid w:val="00312C28"/>
    <w:rsid w:val="00313C77"/>
    <w:rsid w:val="00314487"/>
    <w:rsid w:val="003147BE"/>
    <w:rsid w:val="00314840"/>
    <w:rsid w:val="0031580B"/>
    <w:rsid w:val="00315AB0"/>
    <w:rsid w:val="00315C09"/>
    <w:rsid w:val="00315CB4"/>
    <w:rsid w:val="00316163"/>
    <w:rsid w:val="003167DD"/>
    <w:rsid w:val="00316ADE"/>
    <w:rsid w:val="00317296"/>
    <w:rsid w:val="003173A2"/>
    <w:rsid w:val="003175B7"/>
    <w:rsid w:val="00317A49"/>
    <w:rsid w:val="00320C52"/>
    <w:rsid w:val="00320D7D"/>
    <w:rsid w:val="00321527"/>
    <w:rsid w:val="00322357"/>
    <w:rsid w:val="00322948"/>
    <w:rsid w:val="00322D93"/>
    <w:rsid w:val="00323080"/>
    <w:rsid w:val="003239AA"/>
    <w:rsid w:val="0032421B"/>
    <w:rsid w:val="00324F33"/>
    <w:rsid w:val="003253D6"/>
    <w:rsid w:val="00325C25"/>
    <w:rsid w:val="00326688"/>
    <w:rsid w:val="00326820"/>
    <w:rsid w:val="00326BEA"/>
    <w:rsid w:val="003277A5"/>
    <w:rsid w:val="003304D3"/>
    <w:rsid w:val="003306A6"/>
    <w:rsid w:val="003317AA"/>
    <w:rsid w:val="003318E2"/>
    <w:rsid w:val="003321E2"/>
    <w:rsid w:val="003322CC"/>
    <w:rsid w:val="00333784"/>
    <w:rsid w:val="0033599F"/>
    <w:rsid w:val="00336603"/>
    <w:rsid w:val="00337B88"/>
    <w:rsid w:val="003420EB"/>
    <w:rsid w:val="00342197"/>
    <w:rsid w:val="0034283B"/>
    <w:rsid w:val="003431E7"/>
    <w:rsid w:val="00343C1D"/>
    <w:rsid w:val="00343EA2"/>
    <w:rsid w:val="00344028"/>
    <w:rsid w:val="00344463"/>
    <w:rsid w:val="00345309"/>
    <w:rsid w:val="00345FA1"/>
    <w:rsid w:val="00346544"/>
    <w:rsid w:val="003503A6"/>
    <w:rsid w:val="00350BCF"/>
    <w:rsid w:val="0035128D"/>
    <w:rsid w:val="003515EE"/>
    <w:rsid w:val="00351630"/>
    <w:rsid w:val="00353AFF"/>
    <w:rsid w:val="003542F4"/>
    <w:rsid w:val="003543D5"/>
    <w:rsid w:val="00354C20"/>
    <w:rsid w:val="00354DC9"/>
    <w:rsid w:val="003550E5"/>
    <w:rsid w:val="0035514A"/>
    <w:rsid w:val="00356CB9"/>
    <w:rsid w:val="00356DE9"/>
    <w:rsid w:val="00357116"/>
    <w:rsid w:val="0036043A"/>
    <w:rsid w:val="003606C1"/>
    <w:rsid w:val="00360737"/>
    <w:rsid w:val="00360B4F"/>
    <w:rsid w:val="00360D75"/>
    <w:rsid w:val="0036151D"/>
    <w:rsid w:val="00361A87"/>
    <w:rsid w:val="00363132"/>
    <w:rsid w:val="00363647"/>
    <w:rsid w:val="00363AB6"/>
    <w:rsid w:val="00363DFB"/>
    <w:rsid w:val="00364B94"/>
    <w:rsid w:val="00366BC6"/>
    <w:rsid w:val="00366FDE"/>
    <w:rsid w:val="00370758"/>
    <w:rsid w:val="003708F8"/>
    <w:rsid w:val="00370AAF"/>
    <w:rsid w:val="00370E2E"/>
    <w:rsid w:val="003723B6"/>
    <w:rsid w:val="00372E26"/>
    <w:rsid w:val="00372FAB"/>
    <w:rsid w:val="00374143"/>
    <w:rsid w:val="003741A1"/>
    <w:rsid w:val="003750BD"/>
    <w:rsid w:val="00376D12"/>
    <w:rsid w:val="003771BE"/>
    <w:rsid w:val="003772F4"/>
    <w:rsid w:val="00377B01"/>
    <w:rsid w:val="00383825"/>
    <w:rsid w:val="00383E94"/>
    <w:rsid w:val="003842A6"/>
    <w:rsid w:val="0038471D"/>
    <w:rsid w:val="0038521D"/>
    <w:rsid w:val="003868C5"/>
    <w:rsid w:val="00386D28"/>
    <w:rsid w:val="0039083D"/>
    <w:rsid w:val="00391A23"/>
    <w:rsid w:val="00391D57"/>
    <w:rsid w:val="00392364"/>
    <w:rsid w:val="003926B2"/>
    <w:rsid w:val="003929F6"/>
    <w:rsid w:val="00392FE5"/>
    <w:rsid w:val="00393366"/>
    <w:rsid w:val="003935E8"/>
    <w:rsid w:val="003937C3"/>
    <w:rsid w:val="00393AAB"/>
    <w:rsid w:val="003941A0"/>
    <w:rsid w:val="003958E4"/>
    <w:rsid w:val="00397224"/>
    <w:rsid w:val="003975B3"/>
    <w:rsid w:val="00397DA3"/>
    <w:rsid w:val="003A0D90"/>
    <w:rsid w:val="003A1025"/>
    <w:rsid w:val="003A117A"/>
    <w:rsid w:val="003A1481"/>
    <w:rsid w:val="003A1E42"/>
    <w:rsid w:val="003A2E3E"/>
    <w:rsid w:val="003A32F7"/>
    <w:rsid w:val="003A397C"/>
    <w:rsid w:val="003A4D42"/>
    <w:rsid w:val="003A4E13"/>
    <w:rsid w:val="003A59A9"/>
    <w:rsid w:val="003A6B37"/>
    <w:rsid w:val="003A6B44"/>
    <w:rsid w:val="003A6F4E"/>
    <w:rsid w:val="003A7D29"/>
    <w:rsid w:val="003A7E3E"/>
    <w:rsid w:val="003B0C03"/>
    <w:rsid w:val="003B12CB"/>
    <w:rsid w:val="003B1A4C"/>
    <w:rsid w:val="003B21AA"/>
    <w:rsid w:val="003B2582"/>
    <w:rsid w:val="003B25C1"/>
    <w:rsid w:val="003B3B48"/>
    <w:rsid w:val="003B49A9"/>
    <w:rsid w:val="003B4BF4"/>
    <w:rsid w:val="003B4F4B"/>
    <w:rsid w:val="003B65B9"/>
    <w:rsid w:val="003B746E"/>
    <w:rsid w:val="003B7B39"/>
    <w:rsid w:val="003B7C9B"/>
    <w:rsid w:val="003C062D"/>
    <w:rsid w:val="003C25A8"/>
    <w:rsid w:val="003C2863"/>
    <w:rsid w:val="003C39C7"/>
    <w:rsid w:val="003C3A5C"/>
    <w:rsid w:val="003C4BF6"/>
    <w:rsid w:val="003C4F31"/>
    <w:rsid w:val="003C6169"/>
    <w:rsid w:val="003C63E3"/>
    <w:rsid w:val="003C63EF"/>
    <w:rsid w:val="003C65ED"/>
    <w:rsid w:val="003C6B79"/>
    <w:rsid w:val="003C7286"/>
    <w:rsid w:val="003C7BFF"/>
    <w:rsid w:val="003D0C82"/>
    <w:rsid w:val="003D0DFE"/>
    <w:rsid w:val="003D0FFC"/>
    <w:rsid w:val="003D32FE"/>
    <w:rsid w:val="003D358A"/>
    <w:rsid w:val="003D396C"/>
    <w:rsid w:val="003D3D56"/>
    <w:rsid w:val="003D40D7"/>
    <w:rsid w:val="003D5828"/>
    <w:rsid w:val="003D58D1"/>
    <w:rsid w:val="003D6D3B"/>
    <w:rsid w:val="003D7101"/>
    <w:rsid w:val="003D738D"/>
    <w:rsid w:val="003D7CA2"/>
    <w:rsid w:val="003D7EC0"/>
    <w:rsid w:val="003E08CD"/>
    <w:rsid w:val="003E15A5"/>
    <w:rsid w:val="003E3736"/>
    <w:rsid w:val="003E40FF"/>
    <w:rsid w:val="003E487C"/>
    <w:rsid w:val="003E72DC"/>
    <w:rsid w:val="003E788B"/>
    <w:rsid w:val="003F020C"/>
    <w:rsid w:val="003F046C"/>
    <w:rsid w:val="003F300F"/>
    <w:rsid w:val="003F43B3"/>
    <w:rsid w:val="003F448F"/>
    <w:rsid w:val="003F52FB"/>
    <w:rsid w:val="003F59C8"/>
    <w:rsid w:val="003F6107"/>
    <w:rsid w:val="003F71BE"/>
    <w:rsid w:val="003F71D1"/>
    <w:rsid w:val="003F743E"/>
    <w:rsid w:val="003F757E"/>
    <w:rsid w:val="003F79FE"/>
    <w:rsid w:val="003F7A8F"/>
    <w:rsid w:val="00401936"/>
    <w:rsid w:val="00401C1D"/>
    <w:rsid w:val="00403D2C"/>
    <w:rsid w:val="00404202"/>
    <w:rsid w:val="00404602"/>
    <w:rsid w:val="00404EE2"/>
    <w:rsid w:val="00405CAB"/>
    <w:rsid w:val="004062FC"/>
    <w:rsid w:val="004067B7"/>
    <w:rsid w:val="00406B98"/>
    <w:rsid w:val="004077C3"/>
    <w:rsid w:val="00407DF6"/>
    <w:rsid w:val="00410744"/>
    <w:rsid w:val="0041080B"/>
    <w:rsid w:val="004108FF"/>
    <w:rsid w:val="0041091C"/>
    <w:rsid w:val="00411EE3"/>
    <w:rsid w:val="00411FF6"/>
    <w:rsid w:val="0041286A"/>
    <w:rsid w:val="00412D75"/>
    <w:rsid w:val="0041335E"/>
    <w:rsid w:val="00413B73"/>
    <w:rsid w:val="00413B8C"/>
    <w:rsid w:val="004146B1"/>
    <w:rsid w:val="00415F21"/>
    <w:rsid w:val="00417A8F"/>
    <w:rsid w:val="00420CE3"/>
    <w:rsid w:val="00420E46"/>
    <w:rsid w:val="00420ECE"/>
    <w:rsid w:val="00421951"/>
    <w:rsid w:val="0042260F"/>
    <w:rsid w:val="004229F6"/>
    <w:rsid w:val="00422DE6"/>
    <w:rsid w:val="004230F5"/>
    <w:rsid w:val="00423787"/>
    <w:rsid w:val="004237F7"/>
    <w:rsid w:val="0042483F"/>
    <w:rsid w:val="00424949"/>
    <w:rsid w:val="00424BF7"/>
    <w:rsid w:val="00425D0E"/>
    <w:rsid w:val="00426238"/>
    <w:rsid w:val="00427756"/>
    <w:rsid w:val="00427DD0"/>
    <w:rsid w:val="00430092"/>
    <w:rsid w:val="00430737"/>
    <w:rsid w:val="00431F6D"/>
    <w:rsid w:val="00432401"/>
    <w:rsid w:val="00432C64"/>
    <w:rsid w:val="004347B2"/>
    <w:rsid w:val="00434F6E"/>
    <w:rsid w:val="0043589C"/>
    <w:rsid w:val="00435D0F"/>
    <w:rsid w:val="004364B2"/>
    <w:rsid w:val="00436973"/>
    <w:rsid w:val="00440445"/>
    <w:rsid w:val="00440706"/>
    <w:rsid w:val="00440A4B"/>
    <w:rsid w:val="00440E1F"/>
    <w:rsid w:val="00441689"/>
    <w:rsid w:val="00442C45"/>
    <w:rsid w:val="00442E32"/>
    <w:rsid w:val="004439F8"/>
    <w:rsid w:val="00443A12"/>
    <w:rsid w:val="00443F45"/>
    <w:rsid w:val="00444297"/>
    <w:rsid w:val="00444358"/>
    <w:rsid w:val="00444738"/>
    <w:rsid w:val="004448DD"/>
    <w:rsid w:val="00444F5D"/>
    <w:rsid w:val="004456F4"/>
    <w:rsid w:val="004478AE"/>
    <w:rsid w:val="00450BED"/>
    <w:rsid w:val="00451083"/>
    <w:rsid w:val="0045155A"/>
    <w:rsid w:val="004515D5"/>
    <w:rsid w:val="00451CA9"/>
    <w:rsid w:val="004524D0"/>
    <w:rsid w:val="00452845"/>
    <w:rsid w:val="00453CFE"/>
    <w:rsid w:val="0045427A"/>
    <w:rsid w:val="0045550D"/>
    <w:rsid w:val="00455CD5"/>
    <w:rsid w:val="004560AF"/>
    <w:rsid w:val="00456D48"/>
    <w:rsid w:val="0045737F"/>
    <w:rsid w:val="00457A06"/>
    <w:rsid w:val="00457DA1"/>
    <w:rsid w:val="00460A3B"/>
    <w:rsid w:val="0046198A"/>
    <w:rsid w:val="00461DE8"/>
    <w:rsid w:val="00461FA7"/>
    <w:rsid w:val="00462638"/>
    <w:rsid w:val="00462756"/>
    <w:rsid w:val="0046335F"/>
    <w:rsid w:val="004638F8"/>
    <w:rsid w:val="00463C62"/>
    <w:rsid w:val="004641CC"/>
    <w:rsid w:val="00465BF8"/>
    <w:rsid w:val="00465E32"/>
    <w:rsid w:val="00465FE3"/>
    <w:rsid w:val="0046685E"/>
    <w:rsid w:val="00470A49"/>
    <w:rsid w:val="004712BA"/>
    <w:rsid w:val="004715A1"/>
    <w:rsid w:val="004716D6"/>
    <w:rsid w:val="00471C4E"/>
    <w:rsid w:val="00471F33"/>
    <w:rsid w:val="0047550F"/>
    <w:rsid w:val="00475973"/>
    <w:rsid w:val="00475995"/>
    <w:rsid w:val="00475F9F"/>
    <w:rsid w:val="004765E8"/>
    <w:rsid w:val="004769A6"/>
    <w:rsid w:val="0048034F"/>
    <w:rsid w:val="004806C0"/>
    <w:rsid w:val="00481084"/>
    <w:rsid w:val="00481AAD"/>
    <w:rsid w:val="00482DF6"/>
    <w:rsid w:val="004836DB"/>
    <w:rsid w:val="00484336"/>
    <w:rsid w:val="0048524E"/>
    <w:rsid w:val="004856F8"/>
    <w:rsid w:val="0048591A"/>
    <w:rsid w:val="00485BD5"/>
    <w:rsid w:val="00486AC7"/>
    <w:rsid w:val="00487920"/>
    <w:rsid w:val="00490340"/>
    <w:rsid w:val="004905EB"/>
    <w:rsid w:val="00490683"/>
    <w:rsid w:val="0049353F"/>
    <w:rsid w:val="004944FA"/>
    <w:rsid w:val="00495AA4"/>
    <w:rsid w:val="00495B9A"/>
    <w:rsid w:val="004962A6"/>
    <w:rsid w:val="00496D69"/>
    <w:rsid w:val="00496F66"/>
    <w:rsid w:val="00497D58"/>
    <w:rsid w:val="00497E37"/>
    <w:rsid w:val="004A0704"/>
    <w:rsid w:val="004A19C1"/>
    <w:rsid w:val="004A1EB3"/>
    <w:rsid w:val="004A2DBA"/>
    <w:rsid w:val="004A4B82"/>
    <w:rsid w:val="004A51CF"/>
    <w:rsid w:val="004A5F67"/>
    <w:rsid w:val="004A69DD"/>
    <w:rsid w:val="004A7130"/>
    <w:rsid w:val="004A771F"/>
    <w:rsid w:val="004A7A86"/>
    <w:rsid w:val="004A7CB1"/>
    <w:rsid w:val="004B05BD"/>
    <w:rsid w:val="004B0AB8"/>
    <w:rsid w:val="004B10CE"/>
    <w:rsid w:val="004B2179"/>
    <w:rsid w:val="004B2E0C"/>
    <w:rsid w:val="004B3615"/>
    <w:rsid w:val="004B363C"/>
    <w:rsid w:val="004B3ABC"/>
    <w:rsid w:val="004B3CAC"/>
    <w:rsid w:val="004B3DD4"/>
    <w:rsid w:val="004B40F0"/>
    <w:rsid w:val="004B5F57"/>
    <w:rsid w:val="004B64BA"/>
    <w:rsid w:val="004B6825"/>
    <w:rsid w:val="004B7317"/>
    <w:rsid w:val="004B7641"/>
    <w:rsid w:val="004B79D8"/>
    <w:rsid w:val="004B79E7"/>
    <w:rsid w:val="004C0C17"/>
    <w:rsid w:val="004C131B"/>
    <w:rsid w:val="004C1AA9"/>
    <w:rsid w:val="004C1D93"/>
    <w:rsid w:val="004C28BE"/>
    <w:rsid w:val="004C2C01"/>
    <w:rsid w:val="004C2FB4"/>
    <w:rsid w:val="004C3090"/>
    <w:rsid w:val="004C3238"/>
    <w:rsid w:val="004C330F"/>
    <w:rsid w:val="004C39ED"/>
    <w:rsid w:val="004C3E0E"/>
    <w:rsid w:val="004C40AA"/>
    <w:rsid w:val="004C50BB"/>
    <w:rsid w:val="004C5D6D"/>
    <w:rsid w:val="004C714A"/>
    <w:rsid w:val="004C7158"/>
    <w:rsid w:val="004C77A3"/>
    <w:rsid w:val="004C785A"/>
    <w:rsid w:val="004D0C1B"/>
    <w:rsid w:val="004D0FD2"/>
    <w:rsid w:val="004D10C5"/>
    <w:rsid w:val="004D17AD"/>
    <w:rsid w:val="004D18D7"/>
    <w:rsid w:val="004D1C99"/>
    <w:rsid w:val="004D20FF"/>
    <w:rsid w:val="004D2149"/>
    <w:rsid w:val="004D25C7"/>
    <w:rsid w:val="004D32C2"/>
    <w:rsid w:val="004D37EF"/>
    <w:rsid w:val="004D3CF8"/>
    <w:rsid w:val="004D4709"/>
    <w:rsid w:val="004D4FC2"/>
    <w:rsid w:val="004D60F3"/>
    <w:rsid w:val="004D6981"/>
    <w:rsid w:val="004D6A6D"/>
    <w:rsid w:val="004D6E31"/>
    <w:rsid w:val="004D72E2"/>
    <w:rsid w:val="004D7574"/>
    <w:rsid w:val="004D7586"/>
    <w:rsid w:val="004E00D8"/>
    <w:rsid w:val="004E09CD"/>
    <w:rsid w:val="004E247B"/>
    <w:rsid w:val="004E2A86"/>
    <w:rsid w:val="004E301A"/>
    <w:rsid w:val="004E3ECA"/>
    <w:rsid w:val="004E4B07"/>
    <w:rsid w:val="004E596F"/>
    <w:rsid w:val="004E694A"/>
    <w:rsid w:val="004E6EB8"/>
    <w:rsid w:val="004E6EF8"/>
    <w:rsid w:val="004E6FB2"/>
    <w:rsid w:val="004E729B"/>
    <w:rsid w:val="004E77B1"/>
    <w:rsid w:val="004E7D75"/>
    <w:rsid w:val="004E7E03"/>
    <w:rsid w:val="004F253B"/>
    <w:rsid w:val="004F2EA4"/>
    <w:rsid w:val="004F30AB"/>
    <w:rsid w:val="004F3361"/>
    <w:rsid w:val="004F4344"/>
    <w:rsid w:val="004F4B7E"/>
    <w:rsid w:val="004F5BEA"/>
    <w:rsid w:val="004F6225"/>
    <w:rsid w:val="004F6241"/>
    <w:rsid w:val="004F6B30"/>
    <w:rsid w:val="004F6EA1"/>
    <w:rsid w:val="004F78F0"/>
    <w:rsid w:val="0050059F"/>
    <w:rsid w:val="00500FC0"/>
    <w:rsid w:val="00501DEA"/>
    <w:rsid w:val="00502528"/>
    <w:rsid w:val="005028C0"/>
    <w:rsid w:val="00503B5E"/>
    <w:rsid w:val="00503D3E"/>
    <w:rsid w:val="00504055"/>
    <w:rsid w:val="0050504D"/>
    <w:rsid w:val="00506969"/>
    <w:rsid w:val="00507356"/>
    <w:rsid w:val="00507358"/>
    <w:rsid w:val="0050765A"/>
    <w:rsid w:val="00511007"/>
    <w:rsid w:val="00511612"/>
    <w:rsid w:val="00511704"/>
    <w:rsid w:val="00511954"/>
    <w:rsid w:val="00511DD9"/>
    <w:rsid w:val="00512052"/>
    <w:rsid w:val="005127D1"/>
    <w:rsid w:val="00512D40"/>
    <w:rsid w:val="00512E51"/>
    <w:rsid w:val="00513099"/>
    <w:rsid w:val="00513DE1"/>
    <w:rsid w:val="005145B7"/>
    <w:rsid w:val="005147E6"/>
    <w:rsid w:val="00514BBF"/>
    <w:rsid w:val="00515942"/>
    <w:rsid w:val="00515D16"/>
    <w:rsid w:val="00515F73"/>
    <w:rsid w:val="00516E57"/>
    <w:rsid w:val="00522057"/>
    <w:rsid w:val="005231AD"/>
    <w:rsid w:val="00524E9A"/>
    <w:rsid w:val="00525639"/>
    <w:rsid w:val="005258F1"/>
    <w:rsid w:val="005268FF"/>
    <w:rsid w:val="00526C21"/>
    <w:rsid w:val="005275F2"/>
    <w:rsid w:val="0052783B"/>
    <w:rsid w:val="00530138"/>
    <w:rsid w:val="005325CA"/>
    <w:rsid w:val="0053319E"/>
    <w:rsid w:val="00533C59"/>
    <w:rsid w:val="00533D02"/>
    <w:rsid w:val="005348E6"/>
    <w:rsid w:val="0053560C"/>
    <w:rsid w:val="00536353"/>
    <w:rsid w:val="005363F6"/>
    <w:rsid w:val="00536884"/>
    <w:rsid w:val="005424AB"/>
    <w:rsid w:val="005435EC"/>
    <w:rsid w:val="00543D79"/>
    <w:rsid w:val="0054470E"/>
    <w:rsid w:val="00545454"/>
    <w:rsid w:val="00545522"/>
    <w:rsid w:val="00545C36"/>
    <w:rsid w:val="005462E5"/>
    <w:rsid w:val="00546381"/>
    <w:rsid w:val="00546FC2"/>
    <w:rsid w:val="0054765E"/>
    <w:rsid w:val="00547A9F"/>
    <w:rsid w:val="00550184"/>
    <w:rsid w:val="005501DE"/>
    <w:rsid w:val="005504FE"/>
    <w:rsid w:val="0055103C"/>
    <w:rsid w:val="005513E6"/>
    <w:rsid w:val="0055167D"/>
    <w:rsid w:val="005525D2"/>
    <w:rsid w:val="0055314B"/>
    <w:rsid w:val="00555554"/>
    <w:rsid w:val="00555842"/>
    <w:rsid w:val="00556466"/>
    <w:rsid w:val="005566AC"/>
    <w:rsid w:val="00556EC2"/>
    <w:rsid w:val="00557D5E"/>
    <w:rsid w:val="00560478"/>
    <w:rsid w:val="005609FB"/>
    <w:rsid w:val="00560C05"/>
    <w:rsid w:val="005615EB"/>
    <w:rsid w:val="00562263"/>
    <w:rsid w:val="005625C9"/>
    <w:rsid w:val="00563B09"/>
    <w:rsid w:val="00563DC5"/>
    <w:rsid w:val="00565A02"/>
    <w:rsid w:val="00565E7B"/>
    <w:rsid w:val="0056658A"/>
    <w:rsid w:val="00566777"/>
    <w:rsid w:val="005673BD"/>
    <w:rsid w:val="005679C5"/>
    <w:rsid w:val="00567ACA"/>
    <w:rsid w:val="005701A9"/>
    <w:rsid w:val="005708EB"/>
    <w:rsid w:val="00571E46"/>
    <w:rsid w:val="005720E4"/>
    <w:rsid w:val="005726A9"/>
    <w:rsid w:val="0057270E"/>
    <w:rsid w:val="00572ACD"/>
    <w:rsid w:val="00573BD6"/>
    <w:rsid w:val="00573EA1"/>
    <w:rsid w:val="005748EA"/>
    <w:rsid w:val="00574C52"/>
    <w:rsid w:val="00576204"/>
    <w:rsid w:val="005766D5"/>
    <w:rsid w:val="0057713A"/>
    <w:rsid w:val="00577581"/>
    <w:rsid w:val="00577590"/>
    <w:rsid w:val="005809A7"/>
    <w:rsid w:val="00580D9A"/>
    <w:rsid w:val="00581FCE"/>
    <w:rsid w:val="005833A4"/>
    <w:rsid w:val="00583DEF"/>
    <w:rsid w:val="00583E15"/>
    <w:rsid w:val="00584208"/>
    <w:rsid w:val="0058478C"/>
    <w:rsid w:val="00584E79"/>
    <w:rsid w:val="005855A1"/>
    <w:rsid w:val="0059025B"/>
    <w:rsid w:val="005907B1"/>
    <w:rsid w:val="00591EE7"/>
    <w:rsid w:val="00592EFE"/>
    <w:rsid w:val="00593F92"/>
    <w:rsid w:val="00594204"/>
    <w:rsid w:val="005945DD"/>
    <w:rsid w:val="00594929"/>
    <w:rsid w:val="00594C45"/>
    <w:rsid w:val="0059556A"/>
    <w:rsid w:val="00595DA8"/>
    <w:rsid w:val="005969A5"/>
    <w:rsid w:val="00596DCD"/>
    <w:rsid w:val="00596E55"/>
    <w:rsid w:val="00596F4F"/>
    <w:rsid w:val="00597D6E"/>
    <w:rsid w:val="005A0251"/>
    <w:rsid w:val="005A0526"/>
    <w:rsid w:val="005A23AE"/>
    <w:rsid w:val="005A2BB9"/>
    <w:rsid w:val="005A2CEF"/>
    <w:rsid w:val="005A378B"/>
    <w:rsid w:val="005A379D"/>
    <w:rsid w:val="005A416B"/>
    <w:rsid w:val="005A5408"/>
    <w:rsid w:val="005A5897"/>
    <w:rsid w:val="005A6ECA"/>
    <w:rsid w:val="005A7794"/>
    <w:rsid w:val="005A7B66"/>
    <w:rsid w:val="005B0D41"/>
    <w:rsid w:val="005B151E"/>
    <w:rsid w:val="005B191B"/>
    <w:rsid w:val="005B1EB6"/>
    <w:rsid w:val="005B2493"/>
    <w:rsid w:val="005B2F71"/>
    <w:rsid w:val="005B3B70"/>
    <w:rsid w:val="005B3BD8"/>
    <w:rsid w:val="005B45A9"/>
    <w:rsid w:val="005B5D05"/>
    <w:rsid w:val="005B7895"/>
    <w:rsid w:val="005C0273"/>
    <w:rsid w:val="005C25F4"/>
    <w:rsid w:val="005C2B60"/>
    <w:rsid w:val="005C2C79"/>
    <w:rsid w:val="005C4C0A"/>
    <w:rsid w:val="005C4DA4"/>
    <w:rsid w:val="005C504B"/>
    <w:rsid w:val="005C56DF"/>
    <w:rsid w:val="005C5D22"/>
    <w:rsid w:val="005C5E05"/>
    <w:rsid w:val="005C5ECC"/>
    <w:rsid w:val="005C768A"/>
    <w:rsid w:val="005C79A2"/>
    <w:rsid w:val="005D0095"/>
    <w:rsid w:val="005D0258"/>
    <w:rsid w:val="005D05FA"/>
    <w:rsid w:val="005D1C1A"/>
    <w:rsid w:val="005D2846"/>
    <w:rsid w:val="005D336C"/>
    <w:rsid w:val="005D4BB8"/>
    <w:rsid w:val="005D58F9"/>
    <w:rsid w:val="005D7B92"/>
    <w:rsid w:val="005D7D50"/>
    <w:rsid w:val="005E0607"/>
    <w:rsid w:val="005E0FCC"/>
    <w:rsid w:val="005E1365"/>
    <w:rsid w:val="005E198B"/>
    <w:rsid w:val="005E2377"/>
    <w:rsid w:val="005E31B1"/>
    <w:rsid w:val="005E3393"/>
    <w:rsid w:val="005E4386"/>
    <w:rsid w:val="005E4D60"/>
    <w:rsid w:val="005E6D6F"/>
    <w:rsid w:val="005E7685"/>
    <w:rsid w:val="005E7828"/>
    <w:rsid w:val="005F109D"/>
    <w:rsid w:val="005F14B5"/>
    <w:rsid w:val="005F1886"/>
    <w:rsid w:val="005F2B42"/>
    <w:rsid w:val="005F3199"/>
    <w:rsid w:val="005F324D"/>
    <w:rsid w:val="005F3652"/>
    <w:rsid w:val="005F36BF"/>
    <w:rsid w:val="005F3F66"/>
    <w:rsid w:val="005F57FF"/>
    <w:rsid w:val="005F5A0D"/>
    <w:rsid w:val="005F6744"/>
    <w:rsid w:val="005F6C58"/>
    <w:rsid w:val="005F7603"/>
    <w:rsid w:val="006011A4"/>
    <w:rsid w:val="00601A45"/>
    <w:rsid w:val="00602577"/>
    <w:rsid w:val="006025BC"/>
    <w:rsid w:val="0060274A"/>
    <w:rsid w:val="00602A7D"/>
    <w:rsid w:val="00602F66"/>
    <w:rsid w:val="00603176"/>
    <w:rsid w:val="00603F9E"/>
    <w:rsid w:val="0060468C"/>
    <w:rsid w:val="00605E02"/>
    <w:rsid w:val="00606E5B"/>
    <w:rsid w:val="006070BF"/>
    <w:rsid w:val="006072E5"/>
    <w:rsid w:val="006077DA"/>
    <w:rsid w:val="00607986"/>
    <w:rsid w:val="00607E0C"/>
    <w:rsid w:val="00610C3A"/>
    <w:rsid w:val="0061103A"/>
    <w:rsid w:val="006116F3"/>
    <w:rsid w:val="00611FEB"/>
    <w:rsid w:val="0061252E"/>
    <w:rsid w:val="0061302C"/>
    <w:rsid w:val="00613F43"/>
    <w:rsid w:val="00614327"/>
    <w:rsid w:val="00615179"/>
    <w:rsid w:val="00615361"/>
    <w:rsid w:val="00615716"/>
    <w:rsid w:val="006159F9"/>
    <w:rsid w:val="00615BCD"/>
    <w:rsid w:val="00615C3D"/>
    <w:rsid w:val="00615EAF"/>
    <w:rsid w:val="00616A3E"/>
    <w:rsid w:val="006176D9"/>
    <w:rsid w:val="00617894"/>
    <w:rsid w:val="00617FCC"/>
    <w:rsid w:val="0062066E"/>
    <w:rsid w:val="0062125B"/>
    <w:rsid w:val="00622088"/>
    <w:rsid w:val="006235AC"/>
    <w:rsid w:val="006236B5"/>
    <w:rsid w:val="006237C5"/>
    <w:rsid w:val="00623ABD"/>
    <w:rsid w:val="00623AFB"/>
    <w:rsid w:val="00623B14"/>
    <w:rsid w:val="006252B7"/>
    <w:rsid w:val="0062579B"/>
    <w:rsid w:val="00625E79"/>
    <w:rsid w:val="0062657B"/>
    <w:rsid w:val="00626B0F"/>
    <w:rsid w:val="0063001E"/>
    <w:rsid w:val="00630444"/>
    <w:rsid w:val="00630D8D"/>
    <w:rsid w:val="006325C0"/>
    <w:rsid w:val="00632DAA"/>
    <w:rsid w:val="00633331"/>
    <w:rsid w:val="00634710"/>
    <w:rsid w:val="0063492C"/>
    <w:rsid w:val="00634C89"/>
    <w:rsid w:val="00634F72"/>
    <w:rsid w:val="00635E6D"/>
    <w:rsid w:val="0063641B"/>
    <w:rsid w:val="00637507"/>
    <w:rsid w:val="00637BD8"/>
    <w:rsid w:val="00637C61"/>
    <w:rsid w:val="00637EBB"/>
    <w:rsid w:val="00640AB4"/>
    <w:rsid w:val="006411BF"/>
    <w:rsid w:val="0064182F"/>
    <w:rsid w:val="00642415"/>
    <w:rsid w:val="00642F99"/>
    <w:rsid w:val="00643B84"/>
    <w:rsid w:val="00644384"/>
    <w:rsid w:val="00644685"/>
    <w:rsid w:val="00645138"/>
    <w:rsid w:val="00646488"/>
    <w:rsid w:val="006472B4"/>
    <w:rsid w:val="006473FA"/>
    <w:rsid w:val="00647BCE"/>
    <w:rsid w:val="00650325"/>
    <w:rsid w:val="006507E2"/>
    <w:rsid w:val="006515C5"/>
    <w:rsid w:val="00651888"/>
    <w:rsid w:val="00651F62"/>
    <w:rsid w:val="00652425"/>
    <w:rsid w:val="00652BC9"/>
    <w:rsid w:val="00652D15"/>
    <w:rsid w:val="0065313F"/>
    <w:rsid w:val="00653407"/>
    <w:rsid w:val="00653C82"/>
    <w:rsid w:val="006541D2"/>
    <w:rsid w:val="006542D1"/>
    <w:rsid w:val="006545F4"/>
    <w:rsid w:val="00654CC2"/>
    <w:rsid w:val="00656B0C"/>
    <w:rsid w:val="006571D1"/>
    <w:rsid w:val="0065793C"/>
    <w:rsid w:val="00660489"/>
    <w:rsid w:val="00660F3E"/>
    <w:rsid w:val="00660FD2"/>
    <w:rsid w:val="00661BB0"/>
    <w:rsid w:val="006622FC"/>
    <w:rsid w:val="00664557"/>
    <w:rsid w:val="00665ADF"/>
    <w:rsid w:val="006661A5"/>
    <w:rsid w:val="00667052"/>
    <w:rsid w:val="0067023A"/>
    <w:rsid w:val="00670459"/>
    <w:rsid w:val="00671622"/>
    <w:rsid w:val="0067496B"/>
    <w:rsid w:val="00674F5B"/>
    <w:rsid w:val="00674F5C"/>
    <w:rsid w:val="00675050"/>
    <w:rsid w:val="006754AD"/>
    <w:rsid w:val="00675BA5"/>
    <w:rsid w:val="00675DE6"/>
    <w:rsid w:val="00676ED4"/>
    <w:rsid w:val="00676FFD"/>
    <w:rsid w:val="00680490"/>
    <w:rsid w:val="00680E9E"/>
    <w:rsid w:val="00682246"/>
    <w:rsid w:val="006823FE"/>
    <w:rsid w:val="00683D27"/>
    <w:rsid w:val="006847DE"/>
    <w:rsid w:val="006848DF"/>
    <w:rsid w:val="00684B1A"/>
    <w:rsid w:val="00690120"/>
    <w:rsid w:val="0069137B"/>
    <w:rsid w:val="006923F1"/>
    <w:rsid w:val="0069296C"/>
    <w:rsid w:val="00692A8A"/>
    <w:rsid w:val="006932E2"/>
    <w:rsid w:val="00693ABA"/>
    <w:rsid w:val="00694356"/>
    <w:rsid w:val="00694548"/>
    <w:rsid w:val="006945BE"/>
    <w:rsid w:val="00696206"/>
    <w:rsid w:val="00696BF8"/>
    <w:rsid w:val="006970A0"/>
    <w:rsid w:val="00697CA7"/>
    <w:rsid w:val="006A0EA1"/>
    <w:rsid w:val="006A18B6"/>
    <w:rsid w:val="006A19C8"/>
    <w:rsid w:val="006A2391"/>
    <w:rsid w:val="006A352E"/>
    <w:rsid w:val="006A401C"/>
    <w:rsid w:val="006A4D11"/>
    <w:rsid w:val="006A5005"/>
    <w:rsid w:val="006A78E9"/>
    <w:rsid w:val="006A7907"/>
    <w:rsid w:val="006A7B00"/>
    <w:rsid w:val="006B022A"/>
    <w:rsid w:val="006B0AE7"/>
    <w:rsid w:val="006B0B5F"/>
    <w:rsid w:val="006B0DD3"/>
    <w:rsid w:val="006B16CD"/>
    <w:rsid w:val="006B204A"/>
    <w:rsid w:val="006B25EB"/>
    <w:rsid w:val="006B273F"/>
    <w:rsid w:val="006B2ADF"/>
    <w:rsid w:val="006B36B8"/>
    <w:rsid w:val="006B3BB7"/>
    <w:rsid w:val="006B5555"/>
    <w:rsid w:val="006B6499"/>
    <w:rsid w:val="006B70DB"/>
    <w:rsid w:val="006C0057"/>
    <w:rsid w:val="006C1719"/>
    <w:rsid w:val="006C1C63"/>
    <w:rsid w:val="006C20BB"/>
    <w:rsid w:val="006C2DC4"/>
    <w:rsid w:val="006C35B8"/>
    <w:rsid w:val="006C4724"/>
    <w:rsid w:val="006C4817"/>
    <w:rsid w:val="006C4C64"/>
    <w:rsid w:val="006C6441"/>
    <w:rsid w:val="006C68E7"/>
    <w:rsid w:val="006C6F09"/>
    <w:rsid w:val="006C7A9C"/>
    <w:rsid w:val="006D16C4"/>
    <w:rsid w:val="006D1C71"/>
    <w:rsid w:val="006D2C7B"/>
    <w:rsid w:val="006D2EF0"/>
    <w:rsid w:val="006D3502"/>
    <w:rsid w:val="006D3517"/>
    <w:rsid w:val="006D4700"/>
    <w:rsid w:val="006D4BFF"/>
    <w:rsid w:val="006D5AA1"/>
    <w:rsid w:val="006D70A8"/>
    <w:rsid w:val="006D71F6"/>
    <w:rsid w:val="006D7237"/>
    <w:rsid w:val="006D77FC"/>
    <w:rsid w:val="006D7BCF"/>
    <w:rsid w:val="006E00C3"/>
    <w:rsid w:val="006E0174"/>
    <w:rsid w:val="006E1491"/>
    <w:rsid w:val="006E1680"/>
    <w:rsid w:val="006E275F"/>
    <w:rsid w:val="006E2D7F"/>
    <w:rsid w:val="006E3081"/>
    <w:rsid w:val="006E3405"/>
    <w:rsid w:val="006E42E7"/>
    <w:rsid w:val="006E4840"/>
    <w:rsid w:val="006E575B"/>
    <w:rsid w:val="006E775B"/>
    <w:rsid w:val="006F17FF"/>
    <w:rsid w:val="006F23B7"/>
    <w:rsid w:val="006F241B"/>
    <w:rsid w:val="006F25F9"/>
    <w:rsid w:val="006F27B1"/>
    <w:rsid w:val="006F2915"/>
    <w:rsid w:val="006F3958"/>
    <w:rsid w:val="006F3ECC"/>
    <w:rsid w:val="006F45C2"/>
    <w:rsid w:val="006F490F"/>
    <w:rsid w:val="006F52AB"/>
    <w:rsid w:val="006F594B"/>
    <w:rsid w:val="006F5CFC"/>
    <w:rsid w:val="006F6216"/>
    <w:rsid w:val="006F6ADF"/>
    <w:rsid w:val="006F775C"/>
    <w:rsid w:val="006F7B67"/>
    <w:rsid w:val="006F7D09"/>
    <w:rsid w:val="007001D4"/>
    <w:rsid w:val="0070033A"/>
    <w:rsid w:val="007008F3"/>
    <w:rsid w:val="00700C6A"/>
    <w:rsid w:val="00700D2C"/>
    <w:rsid w:val="00700F47"/>
    <w:rsid w:val="00701096"/>
    <w:rsid w:val="007010E7"/>
    <w:rsid w:val="0070138F"/>
    <w:rsid w:val="00701CC0"/>
    <w:rsid w:val="00703CA9"/>
    <w:rsid w:val="00703EF0"/>
    <w:rsid w:val="0070464C"/>
    <w:rsid w:val="00706AA5"/>
    <w:rsid w:val="007073C9"/>
    <w:rsid w:val="00707EA8"/>
    <w:rsid w:val="00711DF3"/>
    <w:rsid w:val="00712665"/>
    <w:rsid w:val="00712BE5"/>
    <w:rsid w:val="00714877"/>
    <w:rsid w:val="007159C8"/>
    <w:rsid w:val="00715E0A"/>
    <w:rsid w:val="007161BA"/>
    <w:rsid w:val="007169AB"/>
    <w:rsid w:val="0071714D"/>
    <w:rsid w:val="007173D2"/>
    <w:rsid w:val="00717492"/>
    <w:rsid w:val="00720131"/>
    <w:rsid w:val="0072029D"/>
    <w:rsid w:val="007208A3"/>
    <w:rsid w:val="00721EC1"/>
    <w:rsid w:val="00721F00"/>
    <w:rsid w:val="00722600"/>
    <w:rsid w:val="007239BB"/>
    <w:rsid w:val="00723DEC"/>
    <w:rsid w:val="00725416"/>
    <w:rsid w:val="007269A5"/>
    <w:rsid w:val="007269D9"/>
    <w:rsid w:val="00727A03"/>
    <w:rsid w:val="00727A59"/>
    <w:rsid w:val="00730922"/>
    <w:rsid w:val="00731702"/>
    <w:rsid w:val="00732A3A"/>
    <w:rsid w:val="007336EF"/>
    <w:rsid w:val="00733F53"/>
    <w:rsid w:val="00734998"/>
    <w:rsid w:val="0073552C"/>
    <w:rsid w:val="0073661E"/>
    <w:rsid w:val="00737ECE"/>
    <w:rsid w:val="00740CC0"/>
    <w:rsid w:val="00741751"/>
    <w:rsid w:val="0074282D"/>
    <w:rsid w:val="00742F1F"/>
    <w:rsid w:val="00743AB1"/>
    <w:rsid w:val="00744089"/>
    <w:rsid w:val="00744706"/>
    <w:rsid w:val="00745294"/>
    <w:rsid w:val="00746AB1"/>
    <w:rsid w:val="0074777E"/>
    <w:rsid w:val="007503B3"/>
    <w:rsid w:val="007509BB"/>
    <w:rsid w:val="00750AD4"/>
    <w:rsid w:val="00750FDD"/>
    <w:rsid w:val="00751ADA"/>
    <w:rsid w:val="00751C27"/>
    <w:rsid w:val="00754188"/>
    <w:rsid w:val="0075419D"/>
    <w:rsid w:val="0075449C"/>
    <w:rsid w:val="00754D6F"/>
    <w:rsid w:val="00756021"/>
    <w:rsid w:val="007560BD"/>
    <w:rsid w:val="00756346"/>
    <w:rsid w:val="007601ED"/>
    <w:rsid w:val="00761CB5"/>
    <w:rsid w:val="00762164"/>
    <w:rsid w:val="00762BE7"/>
    <w:rsid w:val="007631A4"/>
    <w:rsid w:val="00763501"/>
    <w:rsid w:val="0076359A"/>
    <w:rsid w:val="007641F2"/>
    <w:rsid w:val="00764221"/>
    <w:rsid w:val="0076464C"/>
    <w:rsid w:val="007647A8"/>
    <w:rsid w:val="00765FE8"/>
    <w:rsid w:val="0076759C"/>
    <w:rsid w:val="0077004C"/>
    <w:rsid w:val="00770A1F"/>
    <w:rsid w:val="00770BDE"/>
    <w:rsid w:val="00771D1A"/>
    <w:rsid w:val="00772EEC"/>
    <w:rsid w:val="00773077"/>
    <w:rsid w:val="00773103"/>
    <w:rsid w:val="0077363F"/>
    <w:rsid w:val="0077425E"/>
    <w:rsid w:val="00775123"/>
    <w:rsid w:val="0077513D"/>
    <w:rsid w:val="00775760"/>
    <w:rsid w:val="0077654E"/>
    <w:rsid w:val="00776A4B"/>
    <w:rsid w:val="00776AC6"/>
    <w:rsid w:val="00776BB3"/>
    <w:rsid w:val="00777A7B"/>
    <w:rsid w:val="00777EF9"/>
    <w:rsid w:val="00780302"/>
    <w:rsid w:val="007807A5"/>
    <w:rsid w:val="00780EBB"/>
    <w:rsid w:val="00781748"/>
    <w:rsid w:val="007828CB"/>
    <w:rsid w:val="00782F2F"/>
    <w:rsid w:val="00783478"/>
    <w:rsid w:val="00783646"/>
    <w:rsid w:val="00783AF9"/>
    <w:rsid w:val="00784C1B"/>
    <w:rsid w:val="00784F97"/>
    <w:rsid w:val="00785378"/>
    <w:rsid w:val="007862C8"/>
    <w:rsid w:val="0078719B"/>
    <w:rsid w:val="00787D12"/>
    <w:rsid w:val="007904E8"/>
    <w:rsid w:val="00790B53"/>
    <w:rsid w:val="007917EA"/>
    <w:rsid w:val="00793052"/>
    <w:rsid w:val="00793138"/>
    <w:rsid w:val="007934B4"/>
    <w:rsid w:val="00793940"/>
    <w:rsid w:val="00793ABA"/>
    <w:rsid w:val="00795584"/>
    <w:rsid w:val="007975F9"/>
    <w:rsid w:val="00797B16"/>
    <w:rsid w:val="00797E32"/>
    <w:rsid w:val="00797EAE"/>
    <w:rsid w:val="007A019C"/>
    <w:rsid w:val="007A0F46"/>
    <w:rsid w:val="007A0FCC"/>
    <w:rsid w:val="007A11BD"/>
    <w:rsid w:val="007A1A76"/>
    <w:rsid w:val="007A1C89"/>
    <w:rsid w:val="007A1DCD"/>
    <w:rsid w:val="007A1F25"/>
    <w:rsid w:val="007A22BD"/>
    <w:rsid w:val="007A2554"/>
    <w:rsid w:val="007A271C"/>
    <w:rsid w:val="007A2A1A"/>
    <w:rsid w:val="007A2BBD"/>
    <w:rsid w:val="007A3535"/>
    <w:rsid w:val="007A44ED"/>
    <w:rsid w:val="007A4A9B"/>
    <w:rsid w:val="007A5ABD"/>
    <w:rsid w:val="007A60CD"/>
    <w:rsid w:val="007A6D0A"/>
    <w:rsid w:val="007A6E47"/>
    <w:rsid w:val="007A7D15"/>
    <w:rsid w:val="007B17CC"/>
    <w:rsid w:val="007B29A0"/>
    <w:rsid w:val="007B4E0A"/>
    <w:rsid w:val="007B595B"/>
    <w:rsid w:val="007B7997"/>
    <w:rsid w:val="007C094C"/>
    <w:rsid w:val="007C16B6"/>
    <w:rsid w:val="007C1A7F"/>
    <w:rsid w:val="007C2C18"/>
    <w:rsid w:val="007C33D5"/>
    <w:rsid w:val="007C3A6A"/>
    <w:rsid w:val="007C3F1F"/>
    <w:rsid w:val="007C4015"/>
    <w:rsid w:val="007C414C"/>
    <w:rsid w:val="007C558A"/>
    <w:rsid w:val="007C6112"/>
    <w:rsid w:val="007C64F0"/>
    <w:rsid w:val="007C6805"/>
    <w:rsid w:val="007C6EF6"/>
    <w:rsid w:val="007C7D0B"/>
    <w:rsid w:val="007D008A"/>
    <w:rsid w:val="007D1F0C"/>
    <w:rsid w:val="007D2DE0"/>
    <w:rsid w:val="007D3CC1"/>
    <w:rsid w:val="007D453D"/>
    <w:rsid w:val="007D456D"/>
    <w:rsid w:val="007D4966"/>
    <w:rsid w:val="007D544D"/>
    <w:rsid w:val="007D5884"/>
    <w:rsid w:val="007D5A5C"/>
    <w:rsid w:val="007D5E60"/>
    <w:rsid w:val="007D6DF7"/>
    <w:rsid w:val="007D6EE8"/>
    <w:rsid w:val="007D705D"/>
    <w:rsid w:val="007D76A7"/>
    <w:rsid w:val="007D77EE"/>
    <w:rsid w:val="007E00C2"/>
    <w:rsid w:val="007E03DE"/>
    <w:rsid w:val="007E090F"/>
    <w:rsid w:val="007E15A6"/>
    <w:rsid w:val="007E1664"/>
    <w:rsid w:val="007E1BAF"/>
    <w:rsid w:val="007E1DCE"/>
    <w:rsid w:val="007E1F7C"/>
    <w:rsid w:val="007E1F7D"/>
    <w:rsid w:val="007E20AD"/>
    <w:rsid w:val="007E287E"/>
    <w:rsid w:val="007E2929"/>
    <w:rsid w:val="007E2CCE"/>
    <w:rsid w:val="007E3E9E"/>
    <w:rsid w:val="007E4373"/>
    <w:rsid w:val="007E4549"/>
    <w:rsid w:val="007E45B2"/>
    <w:rsid w:val="007E5897"/>
    <w:rsid w:val="007E5F7E"/>
    <w:rsid w:val="007E65BF"/>
    <w:rsid w:val="007E66B7"/>
    <w:rsid w:val="007E6D92"/>
    <w:rsid w:val="007E79F3"/>
    <w:rsid w:val="007E7D7A"/>
    <w:rsid w:val="007F01E1"/>
    <w:rsid w:val="007F0E30"/>
    <w:rsid w:val="007F12FB"/>
    <w:rsid w:val="007F1D7B"/>
    <w:rsid w:val="007F1F11"/>
    <w:rsid w:val="007F3127"/>
    <w:rsid w:val="007F33FB"/>
    <w:rsid w:val="007F370E"/>
    <w:rsid w:val="007F39CD"/>
    <w:rsid w:val="007F3DAF"/>
    <w:rsid w:val="007F42AE"/>
    <w:rsid w:val="007F60B3"/>
    <w:rsid w:val="007F6203"/>
    <w:rsid w:val="007F6225"/>
    <w:rsid w:val="007F63D0"/>
    <w:rsid w:val="007F71A9"/>
    <w:rsid w:val="00800245"/>
    <w:rsid w:val="008005AD"/>
    <w:rsid w:val="00800B55"/>
    <w:rsid w:val="008013CB"/>
    <w:rsid w:val="00802571"/>
    <w:rsid w:val="008032D5"/>
    <w:rsid w:val="00803D29"/>
    <w:rsid w:val="00806B79"/>
    <w:rsid w:val="00810C38"/>
    <w:rsid w:val="00811BF9"/>
    <w:rsid w:val="0081220C"/>
    <w:rsid w:val="008122D5"/>
    <w:rsid w:val="00812BFD"/>
    <w:rsid w:val="008132B3"/>
    <w:rsid w:val="00813368"/>
    <w:rsid w:val="00814C7B"/>
    <w:rsid w:val="008163F8"/>
    <w:rsid w:val="00816C95"/>
    <w:rsid w:val="00816FAF"/>
    <w:rsid w:val="0081732E"/>
    <w:rsid w:val="008178DC"/>
    <w:rsid w:val="0082062C"/>
    <w:rsid w:val="00820FE3"/>
    <w:rsid w:val="008214F1"/>
    <w:rsid w:val="00821ACD"/>
    <w:rsid w:val="008222DD"/>
    <w:rsid w:val="00822655"/>
    <w:rsid w:val="0082290E"/>
    <w:rsid w:val="00822BFA"/>
    <w:rsid w:val="00822F6D"/>
    <w:rsid w:val="00823621"/>
    <w:rsid w:val="00823D94"/>
    <w:rsid w:val="008241A3"/>
    <w:rsid w:val="008243B9"/>
    <w:rsid w:val="00824E29"/>
    <w:rsid w:val="00825450"/>
    <w:rsid w:val="00825FA9"/>
    <w:rsid w:val="00827142"/>
    <w:rsid w:val="00827986"/>
    <w:rsid w:val="00830548"/>
    <w:rsid w:val="00830954"/>
    <w:rsid w:val="00830B50"/>
    <w:rsid w:val="00830F76"/>
    <w:rsid w:val="00831404"/>
    <w:rsid w:val="00831958"/>
    <w:rsid w:val="0083285A"/>
    <w:rsid w:val="00833523"/>
    <w:rsid w:val="00833B9E"/>
    <w:rsid w:val="008359E9"/>
    <w:rsid w:val="00836D24"/>
    <w:rsid w:val="008372CB"/>
    <w:rsid w:val="00841A7F"/>
    <w:rsid w:val="00841E9B"/>
    <w:rsid w:val="00842033"/>
    <w:rsid w:val="00842161"/>
    <w:rsid w:val="008430F5"/>
    <w:rsid w:val="00843608"/>
    <w:rsid w:val="00844339"/>
    <w:rsid w:val="00844B9C"/>
    <w:rsid w:val="00844DEB"/>
    <w:rsid w:val="00845AD8"/>
    <w:rsid w:val="00846E70"/>
    <w:rsid w:val="008474C1"/>
    <w:rsid w:val="00850DBA"/>
    <w:rsid w:val="00850FB0"/>
    <w:rsid w:val="0085162E"/>
    <w:rsid w:val="0085267A"/>
    <w:rsid w:val="00852CC6"/>
    <w:rsid w:val="00854E43"/>
    <w:rsid w:val="00855D22"/>
    <w:rsid w:val="00856109"/>
    <w:rsid w:val="00857395"/>
    <w:rsid w:val="00860FE5"/>
    <w:rsid w:val="0086106F"/>
    <w:rsid w:val="008613C7"/>
    <w:rsid w:val="008614CA"/>
    <w:rsid w:val="008637FD"/>
    <w:rsid w:val="0086537A"/>
    <w:rsid w:val="00867389"/>
    <w:rsid w:val="00867946"/>
    <w:rsid w:val="00867B2D"/>
    <w:rsid w:val="00867B41"/>
    <w:rsid w:val="00871BF6"/>
    <w:rsid w:val="008722AF"/>
    <w:rsid w:val="008727A1"/>
    <w:rsid w:val="00872EB9"/>
    <w:rsid w:val="00873311"/>
    <w:rsid w:val="00873ECD"/>
    <w:rsid w:val="00873F0F"/>
    <w:rsid w:val="00874B16"/>
    <w:rsid w:val="008763FC"/>
    <w:rsid w:val="00876676"/>
    <w:rsid w:val="00876B50"/>
    <w:rsid w:val="008777D5"/>
    <w:rsid w:val="00880956"/>
    <w:rsid w:val="008811F9"/>
    <w:rsid w:val="00881205"/>
    <w:rsid w:val="008812DA"/>
    <w:rsid w:val="0088182A"/>
    <w:rsid w:val="0088191A"/>
    <w:rsid w:val="00881E40"/>
    <w:rsid w:val="00882346"/>
    <w:rsid w:val="008824F4"/>
    <w:rsid w:val="008827AD"/>
    <w:rsid w:val="00883DB0"/>
    <w:rsid w:val="00883FE1"/>
    <w:rsid w:val="008840E8"/>
    <w:rsid w:val="00884F97"/>
    <w:rsid w:val="008872B6"/>
    <w:rsid w:val="00890237"/>
    <w:rsid w:val="0089037B"/>
    <w:rsid w:val="00890981"/>
    <w:rsid w:val="00891A69"/>
    <w:rsid w:val="00891AE7"/>
    <w:rsid w:val="00891FD2"/>
    <w:rsid w:val="008929D8"/>
    <w:rsid w:val="00892D9E"/>
    <w:rsid w:val="008934C7"/>
    <w:rsid w:val="008939A4"/>
    <w:rsid w:val="0089442B"/>
    <w:rsid w:val="0089515A"/>
    <w:rsid w:val="008954A9"/>
    <w:rsid w:val="00895843"/>
    <w:rsid w:val="008959F2"/>
    <w:rsid w:val="00895CE2"/>
    <w:rsid w:val="00897485"/>
    <w:rsid w:val="008A021E"/>
    <w:rsid w:val="008A11A5"/>
    <w:rsid w:val="008A1737"/>
    <w:rsid w:val="008A1BBB"/>
    <w:rsid w:val="008A1FE0"/>
    <w:rsid w:val="008A2F05"/>
    <w:rsid w:val="008A2F81"/>
    <w:rsid w:val="008A5686"/>
    <w:rsid w:val="008A5797"/>
    <w:rsid w:val="008A66E4"/>
    <w:rsid w:val="008A72D8"/>
    <w:rsid w:val="008A7841"/>
    <w:rsid w:val="008B0045"/>
    <w:rsid w:val="008B16EE"/>
    <w:rsid w:val="008B183D"/>
    <w:rsid w:val="008B1DBF"/>
    <w:rsid w:val="008B261B"/>
    <w:rsid w:val="008B501D"/>
    <w:rsid w:val="008B6172"/>
    <w:rsid w:val="008B71B8"/>
    <w:rsid w:val="008B788D"/>
    <w:rsid w:val="008B7C66"/>
    <w:rsid w:val="008B7CAD"/>
    <w:rsid w:val="008B7D5B"/>
    <w:rsid w:val="008B7D7B"/>
    <w:rsid w:val="008C2359"/>
    <w:rsid w:val="008C2933"/>
    <w:rsid w:val="008C2BE2"/>
    <w:rsid w:val="008C2EC8"/>
    <w:rsid w:val="008C3F98"/>
    <w:rsid w:val="008C4027"/>
    <w:rsid w:val="008C70D3"/>
    <w:rsid w:val="008C7518"/>
    <w:rsid w:val="008D1531"/>
    <w:rsid w:val="008D1899"/>
    <w:rsid w:val="008D1D14"/>
    <w:rsid w:val="008D204F"/>
    <w:rsid w:val="008D26FE"/>
    <w:rsid w:val="008D2CC8"/>
    <w:rsid w:val="008D3F56"/>
    <w:rsid w:val="008D3F92"/>
    <w:rsid w:val="008D4BE1"/>
    <w:rsid w:val="008D5AAA"/>
    <w:rsid w:val="008D669D"/>
    <w:rsid w:val="008D6EE4"/>
    <w:rsid w:val="008D7419"/>
    <w:rsid w:val="008D791C"/>
    <w:rsid w:val="008E0144"/>
    <w:rsid w:val="008E019B"/>
    <w:rsid w:val="008E02DF"/>
    <w:rsid w:val="008E0D58"/>
    <w:rsid w:val="008E0F89"/>
    <w:rsid w:val="008E10AC"/>
    <w:rsid w:val="008E3C2C"/>
    <w:rsid w:val="008E3F85"/>
    <w:rsid w:val="008E4E77"/>
    <w:rsid w:val="008E55C7"/>
    <w:rsid w:val="008E666A"/>
    <w:rsid w:val="008E6C32"/>
    <w:rsid w:val="008E6E82"/>
    <w:rsid w:val="008F0056"/>
    <w:rsid w:val="008F0BF8"/>
    <w:rsid w:val="008F0F85"/>
    <w:rsid w:val="008F10CE"/>
    <w:rsid w:val="008F130E"/>
    <w:rsid w:val="008F14B9"/>
    <w:rsid w:val="008F39E3"/>
    <w:rsid w:val="008F3B0E"/>
    <w:rsid w:val="008F3C40"/>
    <w:rsid w:val="008F3F53"/>
    <w:rsid w:val="008F407D"/>
    <w:rsid w:val="008F4D8A"/>
    <w:rsid w:val="008F4EFA"/>
    <w:rsid w:val="008F54FA"/>
    <w:rsid w:val="008F6786"/>
    <w:rsid w:val="008F6915"/>
    <w:rsid w:val="009001F9"/>
    <w:rsid w:val="009007E8"/>
    <w:rsid w:val="00900C3E"/>
    <w:rsid w:val="00901D97"/>
    <w:rsid w:val="009028A0"/>
    <w:rsid w:val="00903927"/>
    <w:rsid w:val="00903DAA"/>
    <w:rsid w:val="00903EE4"/>
    <w:rsid w:val="00904406"/>
    <w:rsid w:val="00904744"/>
    <w:rsid w:val="00904D12"/>
    <w:rsid w:val="009064D5"/>
    <w:rsid w:val="00906C4B"/>
    <w:rsid w:val="0090731C"/>
    <w:rsid w:val="00907B8D"/>
    <w:rsid w:val="009117C3"/>
    <w:rsid w:val="00911B5F"/>
    <w:rsid w:val="00912A6A"/>
    <w:rsid w:val="009137D6"/>
    <w:rsid w:val="009139C5"/>
    <w:rsid w:val="00914543"/>
    <w:rsid w:val="00914E50"/>
    <w:rsid w:val="009167DA"/>
    <w:rsid w:val="00916E5D"/>
    <w:rsid w:val="00917199"/>
    <w:rsid w:val="00920003"/>
    <w:rsid w:val="0092088F"/>
    <w:rsid w:val="00920D58"/>
    <w:rsid w:val="00920E76"/>
    <w:rsid w:val="0092300B"/>
    <w:rsid w:val="00924A7A"/>
    <w:rsid w:val="00924D5D"/>
    <w:rsid w:val="00924E5C"/>
    <w:rsid w:val="00924FCF"/>
    <w:rsid w:val="0092516F"/>
    <w:rsid w:val="00925941"/>
    <w:rsid w:val="00926125"/>
    <w:rsid w:val="00926C90"/>
    <w:rsid w:val="00927D21"/>
    <w:rsid w:val="009307EF"/>
    <w:rsid w:val="00930836"/>
    <w:rsid w:val="00930CDA"/>
    <w:rsid w:val="00931119"/>
    <w:rsid w:val="00931B06"/>
    <w:rsid w:val="009333B8"/>
    <w:rsid w:val="009357D7"/>
    <w:rsid w:val="009365B0"/>
    <w:rsid w:val="00937B52"/>
    <w:rsid w:val="00940B48"/>
    <w:rsid w:val="00940E86"/>
    <w:rsid w:val="009415DA"/>
    <w:rsid w:val="00941C9E"/>
    <w:rsid w:val="009430D9"/>
    <w:rsid w:val="0094543B"/>
    <w:rsid w:val="00945A3B"/>
    <w:rsid w:val="009460E9"/>
    <w:rsid w:val="00946BB4"/>
    <w:rsid w:val="0095021D"/>
    <w:rsid w:val="00950518"/>
    <w:rsid w:val="00950C3D"/>
    <w:rsid w:val="00950D23"/>
    <w:rsid w:val="00950FE4"/>
    <w:rsid w:val="0095350D"/>
    <w:rsid w:val="00953675"/>
    <w:rsid w:val="00953A9F"/>
    <w:rsid w:val="009546A6"/>
    <w:rsid w:val="009554F4"/>
    <w:rsid w:val="00955C65"/>
    <w:rsid w:val="00955CD8"/>
    <w:rsid w:val="009565B0"/>
    <w:rsid w:val="00956BC0"/>
    <w:rsid w:val="009618FB"/>
    <w:rsid w:val="00962E94"/>
    <w:rsid w:val="00963A2C"/>
    <w:rsid w:val="00963B5A"/>
    <w:rsid w:val="00965018"/>
    <w:rsid w:val="00965788"/>
    <w:rsid w:val="00965F6E"/>
    <w:rsid w:val="00966211"/>
    <w:rsid w:val="00966D32"/>
    <w:rsid w:val="00966E1D"/>
    <w:rsid w:val="0097150A"/>
    <w:rsid w:val="00971CA7"/>
    <w:rsid w:val="00971FC6"/>
    <w:rsid w:val="00972636"/>
    <w:rsid w:val="00972F7E"/>
    <w:rsid w:val="0097521D"/>
    <w:rsid w:val="009755EA"/>
    <w:rsid w:val="00975732"/>
    <w:rsid w:val="009759EA"/>
    <w:rsid w:val="00975E6A"/>
    <w:rsid w:val="00975F4A"/>
    <w:rsid w:val="00976722"/>
    <w:rsid w:val="00976791"/>
    <w:rsid w:val="0097686A"/>
    <w:rsid w:val="00976880"/>
    <w:rsid w:val="00977221"/>
    <w:rsid w:val="00977320"/>
    <w:rsid w:val="00977B02"/>
    <w:rsid w:val="00977B1C"/>
    <w:rsid w:val="00977CB0"/>
    <w:rsid w:val="00977CDD"/>
    <w:rsid w:val="00980B26"/>
    <w:rsid w:val="00980F19"/>
    <w:rsid w:val="00982337"/>
    <w:rsid w:val="00982CC7"/>
    <w:rsid w:val="0098455F"/>
    <w:rsid w:val="00984874"/>
    <w:rsid w:val="00985A77"/>
    <w:rsid w:val="009862E1"/>
    <w:rsid w:val="009910FE"/>
    <w:rsid w:val="00991E5C"/>
    <w:rsid w:val="0099256E"/>
    <w:rsid w:val="009934F6"/>
    <w:rsid w:val="00993603"/>
    <w:rsid w:val="00993806"/>
    <w:rsid w:val="00994416"/>
    <w:rsid w:val="0099569C"/>
    <w:rsid w:val="00996EC6"/>
    <w:rsid w:val="00997597"/>
    <w:rsid w:val="00997F14"/>
    <w:rsid w:val="009A0542"/>
    <w:rsid w:val="009A0854"/>
    <w:rsid w:val="009A0A7D"/>
    <w:rsid w:val="009A19A8"/>
    <w:rsid w:val="009A1A56"/>
    <w:rsid w:val="009A1C06"/>
    <w:rsid w:val="009A1EFA"/>
    <w:rsid w:val="009A354B"/>
    <w:rsid w:val="009A3A4C"/>
    <w:rsid w:val="009A3F7B"/>
    <w:rsid w:val="009A4E31"/>
    <w:rsid w:val="009A5010"/>
    <w:rsid w:val="009A569D"/>
    <w:rsid w:val="009A59FA"/>
    <w:rsid w:val="009A66BD"/>
    <w:rsid w:val="009A6BA1"/>
    <w:rsid w:val="009A7C3B"/>
    <w:rsid w:val="009A7CB3"/>
    <w:rsid w:val="009A7E53"/>
    <w:rsid w:val="009B0777"/>
    <w:rsid w:val="009B0799"/>
    <w:rsid w:val="009B0EC8"/>
    <w:rsid w:val="009B0FBB"/>
    <w:rsid w:val="009B1D1D"/>
    <w:rsid w:val="009B37F7"/>
    <w:rsid w:val="009B5697"/>
    <w:rsid w:val="009B60FD"/>
    <w:rsid w:val="009B7D8A"/>
    <w:rsid w:val="009B7FF0"/>
    <w:rsid w:val="009C03C3"/>
    <w:rsid w:val="009C03EC"/>
    <w:rsid w:val="009C1155"/>
    <w:rsid w:val="009C151D"/>
    <w:rsid w:val="009C1E17"/>
    <w:rsid w:val="009C2411"/>
    <w:rsid w:val="009C254A"/>
    <w:rsid w:val="009C2784"/>
    <w:rsid w:val="009C2B34"/>
    <w:rsid w:val="009C2FF6"/>
    <w:rsid w:val="009C406D"/>
    <w:rsid w:val="009C42D4"/>
    <w:rsid w:val="009C4FF4"/>
    <w:rsid w:val="009D2F99"/>
    <w:rsid w:val="009D34EC"/>
    <w:rsid w:val="009D3BF4"/>
    <w:rsid w:val="009D3E16"/>
    <w:rsid w:val="009D4211"/>
    <w:rsid w:val="009D49A1"/>
    <w:rsid w:val="009D72EC"/>
    <w:rsid w:val="009D744D"/>
    <w:rsid w:val="009E077B"/>
    <w:rsid w:val="009E20CD"/>
    <w:rsid w:val="009E2267"/>
    <w:rsid w:val="009E4004"/>
    <w:rsid w:val="009E4897"/>
    <w:rsid w:val="009E4F4A"/>
    <w:rsid w:val="009E59FD"/>
    <w:rsid w:val="009E73DB"/>
    <w:rsid w:val="009E7A1C"/>
    <w:rsid w:val="009F24E1"/>
    <w:rsid w:val="009F3F22"/>
    <w:rsid w:val="009F47DC"/>
    <w:rsid w:val="009F49F9"/>
    <w:rsid w:val="009F4B44"/>
    <w:rsid w:val="009F5892"/>
    <w:rsid w:val="009F6C21"/>
    <w:rsid w:val="009F7C2B"/>
    <w:rsid w:val="00A00BE0"/>
    <w:rsid w:val="00A01037"/>
    <w:rsid w:val="00A01536"/>
    <w:rsid w:val="00A0206A"/>
    <w:rsid w:val="00A02145"/>
    <w:rsid w:val="00A03104"/>
    <w:rsid w:val="00A0353E"/>
    <w:rsid w:val="00A043FC"/>
    <w:rsid w:val="00A04736"/>
    <w:rsid w:val="00A050C2"/>
    <w:rsid w:val="00A05385"/>
    <w:rsid w:val="00A05394"/>
    <w:rsid w:val="00A05A8E"/>
    <w:rsid w:val="00A05D95"/>
    <w:rsid w:val="00A062EF"/>
    <w:rsid w:val="00A073A7"/>
    <w:rsid w:val="00A11349"/>
    <w:rsid w:val="00A13C64"/>
    <w:rsid w:val="00A15203"/>
    <w:rsid w:val="00A1535E"/>
    <w:rsid w:val="00A1591D"/>
    <w:rsid w:val="00A170CB"/>
    <w:rsid w:val="00A1717D"/>
    <w:rsid w:val="00A1753F"/>
    <w:rsid w:val="00A177D3"/>
    <w:rsid w:val="00A17CBC"/>
    <w:rsid w:val="00A200C8"/>
    <w:rsid w:val="00A20521"/>
    <w:rsid w:val="00A2081C"/>
    <w:rsid w:val="00A20B30"/>
    <w:rsid w:val="00A21615"/>
    <w:rsid w:val="00A217A0"/>
    <w:rsid w:val="00A228B3"/>
    <w:rsid w:val="00A2314C"/>
    <w:rsid w:val="00A238F6"/>
    <w:rsid w:val="00A2444D"/>
    <w:rsid w:val="00A24BB8"/>
    <w:rsid w:val="00A26205"/>
    <w:rsid w:val="00A263A2"/>
    <w:rsid w:val="00A26ABB"/>
    <w:rsid w:val="00A27274"/>
    <w:rsid w:val="00A2730F"/>
    <w:rsid w:val="00A30301"/>
    <w:rsid w:val="00A319BC"/>
    <w:rsid w:val="00A325E8"/>
    <w:rsid w:val="00A32657"/>
    <w:rsid w:val="00A32F18"/>
    <w:rsid w:val="00A33D3D"/>
    <w:rsid w:val="00A34014"/>
    <w:rsid w:val="00A34555"/>
    <w:rsid w:val="00A34C8B"/>
    <w:rsid w:val="00A34F43"/>
    <w:rsid w:val="00A36554"/>
    <w:rsid w:val="00A3724F"/>
    <w:rsid w:val="00A37298"/>
    <w:rsid w:val="00A377FA"/>
    <w:rsid w:val="00A37D3E"/>
    <w:rsid w:val="00A407EB"/>
    <w:rsid w:val="00A40E39"/>
    <w:rsid w:val="00A41BCE"/>
    <w:rsid w:val="00A420B4"/>
    <w:rsid w:val="00A424EB"/>
    <w:rsid w:val="00A42723"/>
    <w:rsid w:val="00A42D3D"/>
    <w:rsid w:val="00A45C0C"/>
    <w:rsid w:val="00A460CA"/>
    <w:rsid w:val="00A4633D"/>
    <w:rsid w:val="00A46609"/>
    <w:rsid w:val="00A46829"/>
    <w:rsid w:val="00A47022"/>
    <w:rsid w:val="00A4719F"/>
    <w:rsid w:val="00A47580"/>
    <w:rsid w:val="00A5138A"/>
    <w:rsid w:val="00A5247E"/>
    <w:rsid w:val="00A52A6E"/>
    <w:rsid w:val="00A52B19"/>
    <w:rsid w:val="00A5306C"/>
    <w:rsid w:val="00A541E7"/>
    <w:rsid w:val="00A541EF"/>
    <w:rsid w:val="00A54BE2"/>
    <w:rsid w:val="00A54E07"/>
    <w:rsid w:val="00A55579"/>
    <w:rsid w:val="00A557D6"/>
    <w:rsid w:val="00A55C16"/>
    <w:rsid w:val="00A562A9"/>
    <w:rsid w:val="00A57138"/>
    <w:rsid w:val="00A572EC"/>
    <w:rsid w:val="00A57483"/>
    <w:rsid w:val="00A60543"/>
    <w:rsid w:val="00A62BAC"/>
    <w:rsid w:val="00A632FA"/>
    <w:rsid w:val="00A6529E"/>
    <w:rsid w:val="00A66476"/>
    <w:rsid w:val="00A66926"/>
    <w:rsid w:val="00A66E99"/>
    <w:rsid w:val="00A67F0A"/>
    <w:rsid w:val="00A70235"/>
    <w:rsid w:val="00A70422"/>
    <w:rsid w:val="00A709D8"/>
    <w:rsid w:val="00A712CE"/>
    <w:rsid w:val="00A714AC"/>
    <w:rsid w:val="00A71D46"/>
    <w:rsid w:val="00A730B5"/>
    <w:rsid w:val="00A75291"/>
    <w:rsid w:val="00A75C6C"/>
    <w:rsid w:val="00A76857"/>
    <w:rsid w:val="00A76D2D"/>
    <w:rsid w:val="00A823A2"/>
    <w:rsid w:val="00A82B9E"/>
    <w:rsid w:val="00A82D7A"/>
    <w:rsid w:val="00A832AE"/>
    <w:rsid w:val="00A83588"/>
    <w:rsid w:val="00A836D8"/>
    <w:rsid w:val="00A83B1F"/>
    <w:rsid w:val="00A84430"/>
    <w:rsid w:val="00A84CC9"/>
    <w:rsid w:val="00A85EB8"/>
    <w:rsid w:val="00A8606A"/>
    <w:rsid w:val="00A86781"/>
    <w:rsid w:val="00A8699B"/>
    <w:rsid w:val="00A86C00"/>
    <w:rsid w:val="00A879A3"/>
    <w:rsid w:val="00A87E42"/>
    <w:rsid w:val="00A90859"/>
    <w:rsid w:val="00A90FCC"/>
    <w:rsid w:val="00A911AC"/>
    <w:rsid w:val="00A91E01"/>
    <w:rsid w:val="00A91E31"/>
    <w:rsid w:val="00A91E43"/>
    <w:rsid w:val="00A9212A"/>
    <w:rsid w:val="00A92F8D"/>
    <w:rsid w:val="00A939C2"/>
    <w:rsid w:val="00A94247"/>
    <w:rsid w:val="00A957B9"/>
    <w:rsid w:val="00A9672F"/>
    <w:rsid w:val="00A967A7"/>
    <w:rsid w:val="00A96D3D"/>
    <w:rsid w:val="00A97708"/>
    <w:rsid w:val="00AA066A"/>
    <w:rsid w:val="00AA0FF2"/>
    <w:rsid w:val="00AA2C9E"/>
    <w:rsid w:val="00AA33D3"/>
    <w:rsid w:val="00AA44F8"/>
    <w:rsid w:val="00AA5410"/>
    <w:rsid w:val="00AA5AC4"/>
    <w:rsid w:val="00AA6573"/>
    <w:rsid w:val="00AA69BA"/>
    <w:rsid w:val="00AA6CA3"/>
    <w:rsid w:val="00AA73DA"/>
    <w:rsid w:val="00AA756C"/>
    <w:rsid w:val="00AA7A4A"/>
    <w:rsid w:val="00AB0A1B"/>
    <w:rsid w:val="00AB1845"/>
    <w:rsid w:val="00AB2AFC"/>
    <w:rsid w:val="00AB39F7"/>
    <w:rsid w:val="00AB3CD5"/>
    <w:rsid w:val="00AB3E20"/>
    <w:rsid w:val="00AB40E5"/>
    <w:rsid w:val="00AB47A9"/>
    <w:rsid w:val="00AB4E1F"/>
    <w:rsid w:val="00AB6A18"/>
    <w:rsid w:val="00AB7A09"/>
    <w:rsid w:val="00AC1518"/>
    <w:rsid w:val="00AC16FB"/>
    <w:rsid w:val="00AC17C7"/>
    <w:rsid w:val="00AC18E1"/>
    <w:rsid w:val="00AC1B8D"/>
    <w:rsid w:val="00AC1DAE"/>
    <w:rsid w:val="00AC294F"/>
    <w:rsid w:val="00AC3D1C"/>
    <w:rsid w:val="00AC5529"/>
    <w:rsid w:val="00AC6C35"/>
    <w:rsid w:val="00AC6EB9"/>
    <w:rsid w:val="00AC6FDC"/>
    <w:rsid w:val="00AC72A5"/>
    <w:rsid w:val="00AC730E"/>
    <w:rsid w:val="00AC75D2"/>
    <w:rsid w:val="00AC7F06"/>
    <w:rsid w:val="00AC7FD1"/>
    <w:rsid w:val="00AD025A"/>
    <w:rsid w:val="00AD07F6"/>
    <w:rsid w:val="00AD432B"/>
    <w:rsid w:val="00AD4C10"/>
    <w:rsid w:val="00AD5DCE"/>
    <w:rsid w:val="00AD6485"/>
    <w:rsid w:val="00AD6654"/>
    <w:rsid w:val="00AD6D16"/>
    <w:rsid w:val="00AE0B85"/>
    <w:rsid w:val="00AE0C9B"/>
    <w:rsid w:val="00AE0DC7"/>
    <w:rsid w:val="00AE30E4"/>
    <w:rsid w:val="00AE5B67"/>
    <w:rsid w:val="00AE68D7"/>
    <w:rsid w:val="00AE72DC"/>
    <w:rsid w:val="00AE7F76"/>
    <w:rsid w:val="00AF062F"/>
    <w:rsid w:val="00AF14F2"/>
    <w:rsid w:val="00AF159C"/>
    <w:rsid w:val="00AF1C85"/>
    <w:rsid w:val="00AF1CD5"/>
    <w:rsid w:val="00AF27D6"/>
    <w:rsid w:val="00AF292D"/>
    <w:rsid w:val="00AF2A99"/>
    <w:rsid w:val="00AF39EA"/>
    <w:rsid w:val="00AF421B"/>
    <w:rsid w:val="00AF451B"/>
    <w:rsid w:val="00AF4BAB"/>
    <w:rsid w:val="00AF4F23"/>
    <w:rsid w:val="00AF5419"/>
    <w:rsid w:val="00AF694E"/>
    <w:rsid w:val="00AF717A"/>
    <w:rsid w:val="00B032E6"/>
    <w:rsid w:val="00B03920"/>
    <w:rsid w:val="00B05ED3"/>
    <w:rsid w:val="00B07467"/>
    <w:rsid w:val="00B07DB4"/>
    <w:rsid w:val="00B10E43"/>
    <w:rsid w:val="00B10ECB"/>
    <w:rsid w:val="00B12207"/>
    <w:rsid w:val="00B1227E"/>
    <w:rsid w:val="00B12575"/>
    <w:rsid w:val="00B12717"/>
    <w:rsid w:val="00B13DA2"/>
    <w:rsid w:val="00B13F13"/>
    <w:rsid w:val="00B141A5"/>
    <w:rsid w:val="00B14908"/>
    <w:rsid w:val="00B14D3F"/>
    <w:rsid w:val="00B15871"/>
    <w:rsid w:val="00B1601E"/>
    <w:rsid w:val="00B16335"/>
    <w:rsid w:val="00B17105"/>
    <w:rsid w:val="00B175ED"/>
    <w:rsid w:val="00B17FF5"/>
    <w:rsid w:val="00B208AD"/>
    <w:rsid w:val="00B21006"/>
    <w:rsid w:val="00B2101A"/>
    <w:rsid w:val="00B21C19"/>
    <w:rsid w:val="00B224F9"/>
    <w:rsid w:val="00B226E4"/>
    <w:rsid w:val="00B233F9"/>
    <w:rsid w:val="00B24B39"/>
    <w:rsid w:val="00B25C7C"/>
    <w:rsid w:val="00B261B9"/>
    <w:rsid w:val="00B30319"/>
    <w:rsid w:val="00B309B0"/>
    <w:rsid w:val="00B31B3A"/>
    <w:rsid w:val="00B3257A"/>
    <w:rsid w:val="00B33C76"/>
    <w:rsid w:val="00B33C98"/>
    <w:rsid w:val="00B3411C"/>
    <w:rsid w:val="00B35BA4"/>
    <w:rsid w:val="00B36B45"/>
    <w:rsid w:val="00B36FA9"/>
    <w:rsid w:val="00B37ACC"/>
    <w:rsid w:val="00B40985"/>
    <w:rsid w:val="00B40D88"/>
    <w:rsid w:val="00B41DBB"/>
    <w:rsid w:val="00B42611"/>
    <w:rsid w:val="00B42998"/>
    <w:rsid w:val="00B42B15"/>
    <w:rsid w:val="00B4359C"/>
    <w:rsid w:val="00B4429A"/>
    <w:rsid w:val="00B45112"/>
    <w:rsid w:val="00B45964"/>
    <w:rsid w:val="00B460F8"/>
    <w:rsid w:val="00B471EC"/>
    <w:rsid w:val="00B47EBB"/>
    <w:rsid w:val="00B500AF"/>
    <w:rsid w:val="00B506B0"/>
    <w:rsid w:val="00B52FE1"/>
    <w:rsid w:val="00B539E9"/>
    <w:rsid w:val="00B5500B"/>
    <w:rsid w:val="00B551E4"/>
    <w:rsid w:val="00B555F2"/>
    <w:rsid w:val="00B558E3"/>
    <w:rsid w:val="00B55AF9"/>
    <w:rsid w:val="00B56B0D"/>
    <w:rsid w:val="00B56C79"/>
    <w:rsid w:val="00B574DD"/>
    <w:rsid w:val="00B577C8"/>
    <w:rsid w:val="00B600F7"/>
    <w:rsid w:val="00B60756"/>
    <w:rsid w:val="00B60F87"/>
    <w:rsid w:val="00B60F8D"/>
    <w:rsid w:val="00B61FEC"/>
    <w:rsid w:val="00B62062"/>
    <w:rsid w:val="00B621F0"/>
    <w:rsid w:val="00B62B31"/>
    <w:rsid w:val="00B63B36"/>
    <w:rsid w:val="00B63C77"/>
    <w:rsid w:val="00B64C6D"/>
    <w:rsid w:val="00B65B21"/>
    <w:rsid w:val="00B66E62"/>
    <w:rsid w:val="00B673C1"/>
    <w:rsid w:val="00B70492"/>
    <w:rsid w:val="00B70AA1"/>
    <w:rsid w:val="00B70B25"/>
    <w:rsid w:val="00B712DB"/>
    <w:rsid w:val="00B7286A"/>
    <w:rsid w:val="00B72FA6"/>
    <w:rsid w:val="00B73BA9"/>
    <w:rsid w:val="00B74A34"/>
    <w:rsid w:val="00B74C62"/>
    <w:rsid w:val="00B7510A"/>
    <w:rsid w:val="00B75F2D"/>
    <w:rsid w:val="00B760D5"/>
    <w:rsid w:val="00B764C5"/>
    <w:rsid w:val="00B76B28"/>
    <w:rsid w:val="00B77865"/>
    <w:rsid w:val="00B801CF"/>
    <w:rsid w:val="00B80E16"/>
    <w:rsid w:val="00B81A94"/>
    <w:rsid w:val="00B81C23"/>
    <w:rsid w:val="00B83605"/>
    <w:rsid w:val="00B83D3C"/>
    <w:rsid w:val="00B83E0B"/>
    <w:rsid w:val="00B849C4"/>
    <w:rsid w:val="00B859B3"/>
    <w:rsid w:val="00B85EC9"/>
    <w:rsid w:val="00B86F28"/>
    <w:rsid w:val="00B872F7"/>
    <w:rsid w:val="00B87A6C"/>
    <w:rsid w:val="00B87C72"/>
    <w:rsid w:val="00B92EA3"/>
    <w:rsid w:val="00B9362F"/>
    <w:rsid w:val="00B9587A"/>
    <w:rsid w:val="00B96031"/>
    <w:rsid w:val="00B978C8"/>
    <w:rsid w:val="00BA0236"/>
    <w:rsid w:val="00BA2DAB"/>
    <w:rsid w:val="00BA3180"/>
    <w:rsid w:val="00BA31A2"/>
    <w:rsid w:val="00BA498F"/>
    <w:rsid w:val="00BA4D94"/>
    <w:rsid w:val="00BA4EBA"/>
    <w:rsid w:val="00BA66C5"/>
    <w:rsid w:val="00BA6805"/>
    <w:rsid w:val="00BA7AC0"/>
    <w:rsid w:val="00BA7DB8"/>
    <w:rsid w:val="00BA7E7F"/>
    <w:rsid w:val="00BB0474"/>
    <w:rsid w:val="00BB19C4"/>
    <w:rsid w:val="00BB3656"/>
    <w:rsid w:val="00BB4174"/>
    <w:rsid w:val="00BB476D"/>
    <w:rsid w:val="00BB4AC7"/>
    <w:rsid w:val="00BB4B07"/>
    <w:rsid w:val="00BB4D0E"/>
    <w:rsid w:val="00BB542E"/>
    <w:rsid w:val="00BB5C84"/>
    <w:rsid w:val="00BB6098"/>
    <w:rsid w:val="00BB6B00"/>
    <w:rsid w:val="00BB7A1D"/>
    <w:rsid w:val="00BB7F42"/>
    <w:rsid w:val="00BC0A80"/>
    <w:rsid w:val="00BC0A92"/>
    <w:rsid w:val="00BC0CE6"/>
    <w:rsid w:val="00BC0D27"/>
    <w:rsid w:val="00BC1506"/>
    <w:rsid w:val="00BC1F17"/>
    <w:rsid w:val="00BC333C"/>
    <w:rsid w:val="00BC3AF4"/>
    <w:rsid w:val="00BC49E9"/>
    <w:rsid w:val="00BC4A56"/>
    <w:rsid w:val="00BC51CB"/>
    <w:rsid w:val="00BC5461"/>
    <w:rsid w:val="00BC6333"/>
    <w:rsid w:val="00BC64C1"/>
    <w:rsid w:val="00BC6702"/>
    <w:rsid w:val="00BC67A4"/>
    <w:rsid w:val="00BC7774"/>
    <w:rsid w:val="00BD0A27"/>
    <w:rsid w:val="00BD2513"/>
    <w:rsid w:val="00BD2BD5"/>
    <w:rsid w:val="00BD2D3A"/>
    <w:rsid w:val="00BD3E6A"/>
    <w:rsid w:val="00BD4014"/>
    <w:rsid w:val="00BD457C"/>
    <w:rsid w:val="00BD5BD3"/>
    <w:rsid w:val="00BD7BB6"/>
    <w:rsid w:val="00BE00DD"/>
    <w:rsid w:val="00BE11BB"/>
    <w:rsid w:val="00BE1943"/>
    <w:rsid w:val="00BE1A6C"/>
    <w:rsid w:val="00BE1C34"/>
    <w:rsid w:val="00BE22A9"/>
    <w:rsid w:val="00BE2392"/>
    <w:rsid w:val="00BE24E5"/>
    <w:rsid w:val="00BE2922"/>
    <w:rsid w:val="00BE3E5E"/>
    <w:rsid w:val="00BE4858"/>
    <w:rsid w:val="00BE4B83"/>
    <w:rsid w:val="00BE4F15"/>
    <w:rsid w:val="00BE56C1"/>
    <w:rsid w:val="00BE5744"/>
    <w:rsid w:val="00BE57EC"/>
    <w:rsid w:val="00BE65AF"/>
    <w:rsid w:val="00BE6902"/>
    <w:rsid w:val="00BE799D"/>
    <w:rsid w:val="00BE7BA8"/>
    <w:rsid w:val="00BF0332"/>
    <w:rsid w:val="00BF0B08"/>
    <w:rsid w:val="00BF12C6"/>
    <w:rsid w:val="00BF38BE"/>
    <w:rsid w:val="00BF3987"/>
    <w:rsid w:val="00BF3CFE"/>
    <w:rsid w:val="00BF447A"/>
    <w:rsid w:val="00BF481C"/>
    <w:rsid w:val="00BF5564"/>
    <w:rsid w:val="00BF5CEF"/>
    <w:rsid w:val="00BF6F52"/>
    <w:rsid w:val="00BF7189"/>
    <w:rsid w:val="00BF7958"/>
    <w:rsid w:val="00C002D5"/>
    <w:rsid w:val="00C012A1"/>
    <w:rsid w:val="00C01986"/>
    <w:rsid w:val="00C01A60"/>
    <w:rsid w:val="00C0308D"/>
    <w:rsid w:val="00C03B79"/>
    <w:rsid w:val="00C042A3"/>
    <w:rsid w:val="00C0451F"/>
    <w:rsid w:val="00C067F2"/>
    <w:rsid w:val="00C07438"/>
    <w:rsid w:val="00C101CE"/>
    <w:rsid w:val="00C10793"/>
    <w:rsid w:val="00C10F4D"/>
    <w:rsid w:val="00C11190"/>
    <w:rsid w:val="00C117A3"/>
    <w:rsid w:val="00C12537"/>
    <w:rsid w:val="00C126CC"/>
    <w:rsid w:val="00C13597"/>
    <w:rsid w:val="00C158E7"/>
    <w:rsid w:val="00C17800"/>
    <w:rsid w:val="00C20094"/>
    <w:rsid w:val="00C207AE"/>
    <w:rsid w:val="00C20EEA"/>
    <w:rsid w:val="00C21025"/>
    <w:rsid w:val="00C21092"/>
    <w:rsid w:val="00C218DF"/>
    <w:rsid w:val="00C22255"/>
    <w:rsid w:val="00C22266"/>
    <w:rsid w:val="00C2251A"/>
    <w:rsid w:val="00C226C5"/>
    <w:rsid w:val="00C22E6D"/>
    <w:rsid w:val="00C23734"/>
    <w:rsid w:val="00C23BCE"/>
    <w:rsid w:val="00C23BE5"/>
    <w:rsid w:val="00C24E47"/>
    <w:rsid w:val="00C253B6"/>
    <w:rsid w:val="00C25C16"/>
    <w:rsid w:val="00C261B6"/>
    <w:rsid w:val="00C27534"/>
    <w:rsid w:val="00C3223B"/>
    <w:rsid w:val="00C32851"/>
    <w:rsid w:val="00C3348C"/>
    <w:rsid w:val="00C33A4B"/>
    <w:rsid w:val="00C35D29"/>
    <w:rsid w:val="00C367BB"/>
    <w:rsid w:val="00C36EA6"/>
    <w:rsid w:val="00C37330"/>
    <w:rsid w:val="00C37A38"/>
    <w:rsid w:val="00C405F2"/>
    <w:rsid w:val="00C40E8A"/>
    <w:rsid w:val="00C41F38"/>
    <w:rsid w:val="00C42344"/>
    <w:rsid w:val="00C432BA"/>
    <w:rsid w:val="00C43D2F"/>
    <w:rsid w:val="00C441E2"/>
    <w:rsid w:val="00C44C60"/>
    <w:rsid w:val="00C452DD"/>
    <w:rsid w:val="00C45DAE"/>
    <w:rsid w:val="00C45F17"/>
    <w:rsid w:val="00C46C84"/>
    <w:rsid w:val="00C46DE6"/>
    <w:rsid w:val="00C46F16"/>
    <w:rsid w:val="00C47C99"/>
    <w:rsid w:val="00C5200C"/>
    <w:rsid w:val="00C535C9"/>
    <w:rsid w:val="00C53830"/>
    <w:rsid w:val="00C540FC"/>
    <w:rsid w:val="00C54C00"/>
    <w:rsid w:val="00C55197"/>
    <w:rsid w:val="00C554C6"/>
    <w:rsid w:val="00C55736"/>
    <w:rsid w:val="00C55BC4"/>
    <w:rsid w:val="00C56592"/>
    <w:rsid w:val="00C565EF"/>
    <w:rsid w:val="00C6079C"/>
    <w:rsid w:val="00C6080E"/>
    <w:rsid w:val="00C60FD8"/>
    <w:rsid w:val="00C61829"/>
    <w:rsid w:val="00C6201A"/>
    <w:rsid w:val="00C622CC"/>
    <w:rsid w:val="00C629C1"/>
    <w:rsid w:val="00C62EDF"/>
    <w:rsid w:val="00C63254"/>
    <w:rsid w:val="00C6363D"/>
    <w:rsid w:val="00C6513B"/>
    <w:rsid w:val="00C653BE"/>
    <w:rsid w:val="00C6550A"/>
    <w:rsid w:val="00C6573A"/>
    <w:rsid w:val="00C65964"/>
    <w:rsid w:val="00C6597B"/>
    <w:rsid w:val="00C6664E"/>
    <w:rsid w:val="00C66C62"/>
    <w:rsid w:val="00C67B72"/>
    <w:rsid w:val="00C70469"/>
    <w:rsid w:val="00C705F7"/>
    <w:rsid w:val="00C70805"/>
    <w:rsid w:val="00C7142D"/>
    <w:rsid w:val="00C72721"/>
    <w:rsid w:val="00C73383"/>
    <w:rsid w:val="00C73D0A"/>
    <w:rsid w:val="00C7494C"/>
    <w:rsid w:val="00C74DF6"/>
    <w:rsid w:val="00C75233"/>
    <w:rsid w:val="00C752F4"/>
    <w:rsid w:val="00C75379"/>
    <w:rsid w:val="00C7629B"/>
    <w:rsid w:val="00C76D09"/>
    <w:rsid w:val="00C76D74"/>
    <w:rsid w:val="00C77A3A"/>
    <w:rsid w:val="00C77B73"/>
    <w:rsid w:val="00C803BE"/>
    <w:rsid w:val="00C809A2"/>
    <w:rsid w:val="00C80F1C"/>
    <w:rsid w:val="00C81A91"/>
    <w:rsid w:val="00C81E31"/>
    <w:rsid w:val="00C8336C"/>
    <w:rsid w:val="00C8443D"/>
    <w:rsid w:val="00C8469F"/>
    <w:rsid w:val="00C8508E"/>
    <w:rsid w:val="00C85532"/>
    <w:rsid w:val="00C85599"/>
    <w:rsid w:val="00C8725B"/>
    <w:rsid w:val="00C875BC"/>
    <w:rsid w:val="00C87CD2"/>
    <w:rsid w:val="00C91705"/>
    <w:rsid w:val="00C91B1A"/>
    <w:rsid w:val="00C92025"/>
    <w:rsid w:val="00C926D2"/>
    <w:rsid w:val="00C92C6F"/>
    <w:rsid w:val="00C93894"/>
    <w:rsid w:val="00C93DAE"/>
    <w:rsid w:val="00C93DF6"/>
    <w:rsid w:val="00C93EE3"/>
    <w:rsid w:val="00C940D8"/>
    <w:rsid w:val="00C95A08"/>
    <w:rsid w:val="00C96291"/>
    <w:rsid w:val="00C96EB4"/>
    <w:rsid w:val="00C97070"/>
    <w:rsid w:val="00C9794C"/>
    <w:rsid w:val="00CA05F2"/>
    <w:rsid w:val="00CA0716"/>
    <w:rsid w:val="00CA12C8"/>
    <w:rsid w:val="00CA23B1"/>
    <w:rsid w:val="00CA345C"/>
    <w:rsid w:val="00CA3879"/>
    <w:rsid w:val="00CA3D69"/>
    <w:rsid w:val="00CA446A"/>
    <w:rsid w:val="00CA4DE9"/>
    <w:rsid w:val="00CA5154"/>
    <w:rsid w:val="00CA5AF6"/>
    <w:rsid w:val="00CA5CE2"/>
    <w:rsid w:val="00CA6B58"/>
    <w:rsid w:val="00CA77F6"/>
    <w:rsid w:val="00CA7B6B"/>
    <w:rsid w:val="00CB08C0"/>
    <w:rsid w:val="00CB099D"/>
    <w:rsid w:val="00CB0D6B"/>
    <w:rsid w:val="00CB1233"/>
    <w:rsid w:val="00CB12F8"/>
    <w:rsid w:val="00CB1BB3"/>
    <w:rsid w:val="00CB29F2"/>
    <w:rsid w:val="00CB2B76"/>
    <w:rsid w:val="00CB2E3D"/>
    <w:rsid w:val="00CB2F33"/>
    <w:rsid w:val="00CB34DD"/>
    <w:rsid w:val="00CB38BF"/>
    <w:rsid w:val="00CB38E1"/>
    <w:rsid w:val="00CB3A06"/>
    <w:rsid w:val="00CB3EB4"/>
    <w:rsid w:val="00CB403B"/>
    <w:rsid w:val="00CB4134"/>
    <w:rsid w:val="00CB5121"/>
    <w:rsid w:val="00CB5552"/>
    <w:rsid w:val="00CB5718"/>
    <w:rsid w:val="00CB5723"/>
    <w:rsid w:val="00CB735B"/>
    <w:rsid w:val="00CB7808"/>
    <w:rsid w:val="00CB797C"/>
    <w:rsid w:val="00CB7E1D"/>
    <w:rsid w:val="00CC01A9"/>
    <w:rsid w:val="00CC1A4B"/>
    <w:rsid w:val="00CC2963"/>
    <w:rsid w:val="00CC399C"/>
    <w:rsid w:val="00CC428E"/>
    <w:rsid w:val="00CC5D26"/>
    <w:rsid w:val="00CC5D72"/>
    <w:rsid w:val="00CC6334"/>
    <w:rsid w:val="00CC6972"/>
    <w:rsid w:val="00CC6F21"/>
    <w:rsid w:val="00CD0667"/>
    <w:rsid w:val="00CD1320"/>
    <w:rsid w:val="00CD3E8E"/>
    <w:rsid w:val="00CD4346"/>
    <w:rsid w:val="00CD46C9"/>
    <w:rsid w:val="00CD4E72"/>
    <w:rsid w:val="00CD6044"/>
    <w:rsid w:val="00CD6334"/>
    <w:rsid w:val="00CD6F5D"/>
    <w:rsid w:val="00CD7052"/>
    <w:rsid w:val="00CD7142"/>
    <w:rsid w:val="00CE0C5F"/>
    <w:rsid w:val="00CE167A"/>
    <w:rsid w:val="00CE169E"/>
    <w:rsid w:val="00CE2386"/>
    <w:rsid w:val="00CE29EA"/>
    <w:rsid w:val="00CE2F88"/>
    <w:rsid w:val="00CE3343"/>
    <w:rsid w:val="00CE36A6"/>
    <w:rsid w:val="00CE3E49"/>
    <w:rsid w:val="00CE4942"/>
    <w:rsid w:val="00CE567D"/>
    <w:rsid w:val="00CE5847"/>
    <w:rsid w:val="00CE65F4"/>
    <w:rsid w:val="00CE6C0A"/>
    <w:rsid w:val="00CE6CE2"/>
    <w:rsid w:val="00CE6CF3"/>
    <w:rsid w:val="00CE6D10"/>
    <w:rsid w:val="00CF06D0"/>
    <w:rsid w:val="00CF0C8D"/>
    <w:rsid w:val="00CF1E8B"/>
    <w:rsid w:val="00CF2E34"/>
    <w:rsid w:val="00CF3187"/>
    <w:rsid w:val="00CF5308"/>
    <w:rsid w:val="00CF5F70"/>
    <w:rsid w:val="00CF66F3"/>
    <w:rsid w:val="00CF6FF5"/>
    <w:rsid w:val="00D00653"/>
    <w:rsid w:val="00D03EAC"/>
    <w:rsid w:val="00D044AC"/>
    <w:rsid w:val="00D0467A"/>
    <w:rsid w:val="00D04755"/>
    <w:rsid w:val="00D04944"/>
    <w:rsid w:val="00D049D6"/>
    <w:rsid w:val="00D0546C"/>
    <w:rsid w:val="00D06619"/>
    <w:rsid w:val="00D06797"/>
    <w:rsid w:val="00D074A8"/>
    <w:rsid w:val="00D109DF"/>
    <w:rsid w:val="00D12417"/>
    <w:rsid w:val="00D12550"/>
    <w:rsid w:val="00D12801"/>
    <w:rsid w:val="00D12A89"/>
    <w:rsid w:val="00D12EE7"/>
    <w:rsid w:val="00D131E2"/>
    <w:rsid w:val="00D13570"/>
    <w:rsid w:val="00D1641C"/>
    <w:rsid w:val="00D169B8"/>
    <w:rsid w:val="00D17858"/>
    <w:rsid w:val="00D2053A"/>
    <w:rsid w:val="00D249AD"/>
    <w:rsid w:val="00D24B26"/>
    <w:rsid w:val="00D25E93"/>
    <w:rsid w:val="00D266C9"/>
    <w:rsid w:val="00D2687F"/>
    <w:rsid w:val="00D272AC"/>
    <w:rsid w:val="00D27691"/>
    <w:rsid w:val="00D2786B"/>
    <w:rsid w:val="00D27978"/>
    <w:rsid w:val="00D27C75"/>
    <w:rsid w:val="00D303B9"/>
    <w:rsid w:val="00D3101C"/>
    <w:rsid w:val="00D310F0"/>
    <w:rsid w:val="00D31939"/>
    <w:rsid w:val="00D32374"/>
    <w:rsid w:val="00D32775"/>
    <w:rsid w:val="00D32A3B"/>
    <w:rsid w:val="00D32F6D"/>
    <w:rsid w:val="00D34FA7"/>
    <w:rsid w:val="00D36782"/>
    <w:rsid w:val="00D37375"/>
    <w:rsid w:val="00D379B5"/>
    <w:rsid w:val="00D37F5E"/>
    <w:rsid w:val="00D40378"/>
    <w:rsid w:val="00D4082E"/>
    <w:rsid w:val="00D41107"/>
    <w:rsid w:val="00D41363"/>
    <w:rsid w:val="00D41E28"/>
    <w:rsid w:val="00D430C8"/>
    <w:rsid w:val="00D43241"/>
    <w:rsid w:val="00D45F75"/>
    <w:rsid w:val="00D462EA"/>
    <w:rsid w:val="00D46690"/>
    <w:rsid w:val="00D46979"/>
    <w:rsid w:val="00D46B1F"/>
    <w:rsid w:val="00D47BFD"/>
    <w:rsid w:val="00D50844"/>
    <w:rsid w:val="00D50F26"/>
    <w:rsid w:val="00D513C4"/>
    <w:rsid w:val="00D51C38"/>
    <w:rsid w:val="00D523C0"/>
    <w:rsid w:val="00D5397F"/>
    <w:rsid w:val="00D53F8B"/>
    <w:rsid w:val="00D54212"/>
    <w:rsid w:val="00D54C67"/>
    <w:rsid w:val="00D5544D"/>
    <w:rsid w:val="00D55701"/>
    <w:rsid w:val="00D5638C"/>
    <w:rsid w:val="00D564CC"/>
    <w:rsid w:val="00D566A5"/>
    <w:rsid w:val="00D57D04"/>
    <w:rsid w:val="00D601AC"/>
    <w:rsid w:val="00D618BD"/>
    <w:rsid w:val="00D62E5C"/>
    <w:rsid w:val="00D62E77"/>
    <w:rsid w:val="00D62F84"/>
    <w:rsid w:val="00D63E31"/>
    <w:rsid w:val="00D63ED9"/>
    <w:rsid w:val="00D64B85"/>
    <w:rsid w:val="00D64CBA"/>
    <w:rsid w:val="00D64FF2"/>
    <w:rsid w:val="00D64FF5"/>
    <w:rsid w:val="00D65D0B"/>
    <w:rsid w:val="00D66207"/>
    <w:rsid w:val="00D670F7"/>
    <w:rsid w:val="00D672DA"/>
    <w:rsid w:val="00D70B0E"/>
    <w:rsid w:val="00D70D88"/>
    <w:rsid w:val="00D7241A"/>
    <w:rsid w:val="00D72C3F"/>
    <w:rsid w:val="00D7320F"/>
    <w:rsid w:val="00D763BF"/>
    <w:rsid w:val="00D8059F"/>
    <w:rsid w:val="00D80ADB"/>
    <w:rsid w:val="00D80D61"/>
    <w:rsid w:val="00D80EF2"/>
    <w:rsid w:val="00D81BD3"/>
    <w:rsid w:val="00D824C4"/>
    <w:rsid w:val="00D8301A"/>
    <w:rsid w:val="00D8302B"/>
    <w:rsid w:val="00D83B88"/>
    <w:rsid w:val="00D83BD3"/>
    <w:rsid w:val="00D83CB1"/>
    <w:rsid w:val="00D83DF9"/>
    <w:rsid w:val="00D842AC"/>
    <w:rsid w:val="00D84A34"/>
    <w:rsid w:val="00D85465"/>
    <w:rsid w:val="00D85852"/>
    <w:rsid w:val="00D86275"/>
    <w:rsid w:val="00D87500"/>
    <w:rsid w:val="00D8765A"/>
    <w:rsid w:val="00D9069C"/>
    <w:rsid w:val="00D909C1"/>
    <w:rsid w:val="00D90A52"/>
    <w:rsid w:val="00D90C36"/>
    <w:rsid w:val="00D91B25"/>
    <w:rsid w:val="00D92600"/>
    <w:rsid w:val="00D9435E"/>
    <w:rsid w:val="00D954AC"/>
    <w:rsid w:val="00D9563C"/>
    <w:rsid w:val="00D9651B"/>
    <w:rsid w:val="00DA05C1"/>
    <w:rsid w:val="00DA15EE"/>
    <w:rsid w:val="00DA1970"/>
    <w:rsid w:val="00DA2105"/>
    <w:rsid w:val="00DA24DA"/>
    <w:rsid w:val="00DA2AB0"/>
    <w:rsid w:val="00DA2D28"/>
    <w:rsid w:val="00DA2D71"/>
    <w:rsid w:val="00DA31CF"/>
    <w:rsid w:val="00DA31F2"/>
    <w:rsid w:val="00DA3EA7"/>
    <w:rsid w:val="00DA402D"/>
    <w:rsid w:val="00DA5A28"/>
    <w:rsid w:val="00DA5EE2"/>
    <w:rsid w:val="00DA5FF8"/>
    <w:rsid w:val="00DA64F8"/>
    <w:rsid w:val="00DB000B"/>
    <w:rsid w:val="00DB0744"/>
    <w:rsid w:val="00DB07B3"/>
    <w:rsid w:val="00DB10A2"/>
    <w:rsid w:val="00DB13C0"/>
    <w:rsid w:val="00DB2243"/>
    <w:rsid w:val="00DB2623"/>
    <w:rsid w:val="00DB2D86"/>
    <w:rsid w:val="00DB6322"/>
    <w:rsid w:val="00DB6A78"/>
    <w:rsid w:val="00DB75D5"/>
    <w:rsid w:val="00DB79E0"/>
    <w:rsid w:val="00DB7D75"/>
    <w:rsid w:val="00DB7DEC"/>
    <w:rsid w:val="00DB7E1B"/>
    <w:rsid w:val="00DC116A"/>
    <w:rsid w:val="00DC13F1"/>
    <w:rsid w:val="00DC3A26"/>
    <w:rsid w:val="00DC3BCB"/>
    <w:rsid w:val="00DC4CB9"/>
    <w:rsid w:val="00DC532D"/>
    <w:rsid w:val="00DC564A"/>
    <w:rsid w:val="00DC6036"/>
    <w:rsid w:val="00DC6E7D"/>
    <w:rsid w:val="00DC7751"/>
    <w:rsid w:val="00DD05CA"/>
    <w:rsid w:val="00DD1AC8"/>
    <w:rsid w:val="00DD2093"/>
    <w:rsid w:val="00DD279C"/>
    <w:rsid w:val="00DD2919"/>
    <w:rsid w:val="00DD2B55"/>
    <w:rsid w:val="00DD3B1D"/>
    <w:rsid w:val="00DD4249"/>
    <w:rsid w:val="00DD44E7"/>
    <w:rsid w:val="00DD4E00"/>
    <w:rsid w:val="00DD4F64"/>
    <w:rsid w:val="00DD5BE1"/>
    <w:rsid w:val="00DD5DB8"/>
    <w:rsid w:val="00DD64C5"/>
    <w:rsid w:val="00DD67B6"/>
    <w:rsid w:val="00DD6A2C"/>
    <w:rsid w:val="00DD6BCA"/>
    <w:rsid w:val="00DD7E55"/>
    <w:rsid w:val="00DE0334"/>
    <w:rsid w:val="00DE0AA6"/>
    <w:rsid w:val="00DE0F87"/>
    <w:rsid w:val="00DE1284"/>
    <w:rsid w:val="00DE18F6"/>
    <w:rsid w:val="00DE36C8"/>
    <w:rsid w:val="00DE3EF1"/>
    <w:rsid w:val="00DE45AB"/>
    <w:rsid w:val="00DE4FF3"/>
    <w:rsid w:val="00DE62F4"/>
    <w:rsid w:val="00DE69BF"/>
    <w:rsid w:val="00DE6F92"/>
    <w:rsid w:val="00DE6FC4"/>
    <w:rsid w:val="00DE71D4"/>
    <w:rsid w:val="00DF170F"/>
    <w:rsid w:val="00DF22DF"/>
    <w:rsid w:val="00DF22E6"/>
    <w:rsid w:val="00DF2D1F"/>
    <w:rsid w:val="00DF4284"/>
    <w:rsid w:val="00DF47A6"/>
    <w:rsid w:val="00DF5850"/>
    <w:rsid w:val="00DF636A"/>
    <w:rsid w:val="00DF67C1"/>
    <w:rsid w:val="00DF6BF9"/>
    <w:rsid w:val="00DF7737"/>
    <w:rsid w:val="00E00492"/>
    <w:rsid w:val="00E008E0"/>
    <w:rsid w:val="00E0098F"/>
    <w:rsid w:val="00E00CC9"/>
    <w:rsid w:val="00E012CA"/>
    <w:rsid w:val="00E02A89"/>
    <w:rsid w:val="00E02E29"/>
    <w:rsid w:val="00E0312C"/>
    <w:rsid w:val="00E032C6"/>
    <w:rsid w:val="00E07567"/>
    <w:rsid w:val="00E1014D"/>
    <w:rsid w:val="00E103A7"/>
    <w:rsid w:val="00E11F63"/>
    <w:rsid w:val="00E123F4"/>
    <w:rsid w:val="00E131CC"/>
    <w:rsid w:val="00E1386C"/>
    <w:rsid w:val="00E14737"/>
    <w:rsid w:val="00E14A88"/>
    <w:rsid w:val="00E156AA"/>
    <w:rsid w:val="00E15A0B"/>
    <w:rsid w:val="00E1613D"/>
    <w:rsid w:val="00E162CE"/>
    <w:rsid w:val="00E16600"/>
    <w:rsid w:val="00E16971"/>
    <w:rsid w:val="00E16AC4"/>
    <w:rsid w:val="00E16F74"/>
    <w:rsid w:val="00E202BD"/>
    <w:rsid w:val="00E22050"/>
    <w:rsid w:val="00E22178"/>
    <w:rsid w:val="00E22334"/>
    <w:rsid w:val="00E22FF5"/>
    <w:rsid w:val="00E237EF"/>
    <w:rsid w:val="00E24C34"/>
    <w:rsid w:val="00E25401"/>
    <w:rsid w:val="00E259BC"/>
    <w:rsid w:val="00E25E56"/>
    <w:rsid w:val="00E2675A"/>
    <w:rsid w:val="00E26B75"/>
    <w:rsid w:val="00E2740D"/>
    <w:rsid w:val="00E27A95"/>
    <w:rsid w:val="00E30461"/>
    <w:rsid w:val="00E30CC1"/>
    <w:rsid w:val="00E30E00"/>
    <w:rsid w:val="00E31427"/>
    <w:rsid w:val="00E314A8"/>
    <w:rsid w:val="00E31813"/>
    <w:rsid w:val="00E3288E"/>
    <w:rsid w:val="00E3318E"/>
    <w:rsid w:val="00E33193"/>
    <w:rsid w:val="00E344BE"/>
    <w:rsid w:val="00E34D13"/>
    <w:rsid w:val="00E35A3D"/>
    <w:rsid w:val="00E36477"/>
    <w:rsid w:val="00E376FA"/>
    <w:rsid w:val="00E40430"/>
    <w:rsid w:val="00E40756"/>
    <w:rsid w:val="00E408A8"/>
    <w:rsid w:val="00E40EF0"/>
    <w:rsid w:val="00E41899"/>
    <w:rsid w:val="00E41D91"/>
    <w:rsid w:val="00E4259A"/>
    <w:rsid w:val="00E43B7D"/>
    <w:rsid w:val="00E43CC9"/>
    <w:rsid w:val="00E441B4"/>
    <w:rsid w:val="00E4493B"/>
    <w:rsid w:val="00E44BC2"/>
    <w:rsid w:val="00E44CD1"/>
    <w:rsid w:val="00E450CA"/>
    <w:rsid w:val="00E45580"/>
    <w:rsid w:val="00E45C48"/>
    <w:rsid w:val="00E47785"/>
    <w:rsid w:val="00E47AA4"/>
    <w:rsid w:val="00E47AD1"/>
    <w:rsid w:val="00E50BED"/>
    <w:rsid w:val="00E512BC"/>
    <w:rsid w:val="00E518CC"/>
    <w:rsid w:val="00E52A0B"/>
    <w:rsid w:val="00E53CCE"/>
    <w:rsid w:val="00E55097"/>
    <w:rsid w:val="00E55942"/>
    <w:rsid w:val="00E56939"/>
    <w:rsid w:val="00E605F4"/>
    <w:rsid w:val="00E60967"/>
    <w:rsid w:val="00E60AA4"/>
    <w:rsid w:val="00E60C30"/>
    <w:rsid w:val="00E61820"/>
    <w:rsid w:val="00E61AB6"/>
    <w:rsid w:val="00E61DEA"/>
    <w:rsid w:val="00E62247"/>
    <w:rsid w:val="00E62AF4"/>
    <w:rsid w:val="00E63DFC"/>
    <w:rsid w:val="00E64230"/>
    <w:rsid w:val="00E6458C"/>
    <w:rsid w:val="00E653EE"/>
    <w:rsid w:val="00E655EC"/>
    <w:rsid w:val="00E6607E"/>
    <w:rsid w:val="00E66326"/>
    <w:rsid w:val="00E6738D"/>
    <w:rsid w:val="00E6747B"/>
    <w:rsid w:val="00E71168"/>
    <w:rsid w:val="00E71F6C"/>
    <w:rsid w:val="00E7201C"/>
    <w:rsid w:val="00E720E2"/>
    <w:rsid w:val="00E72DC9"/>
    <w:rsid w:val="00E73099"/>
    <w:rsid w:val="00E74C02"/>
    <w:rsid w:val="00E7698A"/>
    <w:rsid w:val="00E76CF8"/>
    <w:rsid w:val="00E76D8D"/>
    <w:rsid w:val="00E776A8"/>
    <w:rsid w:val="00E7799A"/>
    <w:rsid w:val="00E779D1"/>
    <w:rsid w:val="00E82BA4"/>
    <w:rsid w:val="00E82DB1"/>
    <w:rsid w:val="00E82DC3"/>
    <w:rsid w:val="00E84667"/>
    <w:rsid w:val="00E848F5"/>
    <w:rsid w:val="00E8520C"/>
    <w:rsid w:val="00E853A3"/>
    <w:rsid w:val="00E8560D"/>
    <w:rsid w:val="00E85828"/>
    <w:rsid w:val="00E8783A"/>
    <w:rsid w:val="00E9062D"/>
    <w:rsid w:val="00E90B43"/>
    <w:rsid w:val="00E91083"/>
    <w:rsid w:val="00E91628"/>
    <w:rsid w:val="00E9193E"/>
    <w:rsid w:val="00E927E8"/>
    <w:rsid w:val="00E928A6"/>
    <w:rsid w:val="00E92CBA"/>
    <w:rsid w:val="00E934C9"/>
    <w:rsid w:val="00E9377F"/>
    <w:rsid w:val="00E94A1A"/>
    <w:rsid w:val="00E94A6B"/>
    <w:rsid w:val="00E9506A"/>
    <w:rsid w:val="00E95188"/>
    <w:rsid w:val="00E95BB7"/>
    <w:rsid w:val="00E96B1A"/>
    <w:rsid w:val="00E9796B"/>
    <w:rsid w:val="00E97A25"/>
    <w:rsid w:val="00E97A99"/>
    <w:rsid w:val="00EA056B"/>
    <w:rsid w:val="00EA09E5"/>
    <w:rsid w:val="00EA0DDD"/>
    <w:rsid w:val="00EA1DC9"/>
    <w:rsid w:val="00EA1F88"/>
    <w:rsid w:val="00EA3790"/>
    <w:rsid w:val="00EA4200"/>
    <w:rsid w:val="00EA43AD"/>
    <w:rsid w:val="00EA5137"/>
    <w:rsid w:val="00EA51CB"/>
    <w:rsid w:val="00EA5ACB"/>
    <w:rsid w:val="00EA7DD1"/>
    <w:rsid w:val="00EB1653"/>
    <w:rsid w:val="00EB1927"/>
    <w:rsid w:val="00EB1BD1"/>
    <w:rsid w:val="00EB2159"/>
    <w:rsid w:val="00EB3433"/>
    <w:rsid w:val="00EB3556"/>
    <w:rsid w:val="00EB385C"/>
    <w:rsid w:val="00EB4937"/>
    <w:rsid w:val="00EB5972"/>
    <w:rsid w:val="00EB60A3"/>
    <w:rsid w:val="00EB71D1"/>
    <w:rsid w:val="00EB7C91"/>
    <w:rsid w:val="00EC0B1B"/>
    <w:rsid w:val="00EC234A"/>
    <w:rsid w:val="00EC2CCE"/>
    <w:rsid w:val="00EC3221"/>
    <w:rsid w:val="00EC3B6F"/>
    <w:rsid w:val="00EC3EE6"/>
    <w:rsid w:val="00EC4E93"/>
    <w:rsid w:val="00EC5632"/>
    <w:rsid w:val="00EC6A5B"/>
    <w:rsid w:val="00EC71EE"/>
    <w:rsid w:val="00ED0901"/>
    <w:rsid w:val="00ED12B4"/>
    <w:rsid w:val="00ED133D"/>
    <w:rsid w:val="00ED17D9"/>
    <w:rsid w:val="00ED1D72"/>
    <w:rsid w:val="00ED2193"/>
    <w:rsid w:val="00ED2D34"/>
    <w:rsid w:val="00ED368B"/>
    <w:rsid w:val="00ED5C67"/>
    <w:rsid w:val="00ED60AB"/>
    <w:rsid w:val="00ED7376"/>
    <w:rsid w:val="00ED7E40"/>
    <w:rsid w:val="00EE196B"/>
    <w:rsid w:val="00EE1C3B"/>
    <w:rsid w:val="00EE24E0"/>
    <w:rsid w:val="00EE2F74"/>
    <w:rsid w:val="00EE3D92"/>
    <w:rsid w:val="00EE4ABA"/>
    <w:rsid w:val="00EE4EAE"/>
    <w:rsid w:val="00EE55CD"/>
    <w:rsid w:val="00EE6263"/>
    <w:rsid w:val="00EE6A34"/>
    <w:rsid w:val="00EE6AB2"/>
    <w:rsid w:val="00EE6CF8"/>
    <w:rsid w:val="00EE73CB"/>
    <w:rsid w:val="00EE7862"/>
    <w:rsid w:val="00EF0FEA"/>
    <w:rsid w:val="00EF1D56"/>
    <w:rsid w:val="00EF6A0D"/>
    <w:rsid w:val="00F01337"/>
    <w:rsid w:val="00F014CE"/>
    <w:rsid w:val="00F02232"/>
    <w:rsid w:val="00F023C1"/>
    <w:rsid w:val="00F0315F"/>
    <w:rsid w:val="00F03548"/>
    <w:rsid w:val="00F0374F"/>
    <w:rsid w:val="00F03E31"/>
    <w:rsid w:val="00F0520D"/>
    <w:rsid w:val="00F05235"/>
    <w:rsid w:val="00F05675"/>
    <w:rsid w:val="00F056E5"/>
    <w:rsid w:val="00F05F39"/>
    <w:rsid w:val="00F06514"/>
    <w:rsid w:val="00F06790"/>
    <w:rsid w:val="00F071AE"/>
    <w:rsid w:val="00F079F6"/>
    <w:rsid w:val="00F07EC9"/>
    <w:rsid w:val="00F10CF4"/>
    <w:rsid w:val="00F10EAB"/>
    <w:rsid w:val="00F1120E"/>
    <w:rsid w:val="00F1130C"/>
    <w:rsid w:val="00F117E3"/>
    <w:rsid w:val="00F11802"/>
    <w:rsid w:val="00F11A59"/>
    <w:rsid w:val="00F131BB"/>
    <w:rsid w:val="00F13926"/>
    <w:rsid w:val="00F1408A"/>
    <w:rsid w:val="00F156C2"/>
    <w:rsid w:val="00F158B8"/>
    <w:rsid w:val="00F15D04"/>
    <w:rsid w:val="00F15D8D"/>
    <w:rsid w:val="00F165C5"/>
    <w:rsid w:val="00F168F9"/>
    <w:rsid w:val="00F169C4"/>
    <w:rsid w:val="00F16D97"/>
    <w:rsid w:val="00F17091"/>
    <w:rsid w:val="00F17864"/>
    <w:rsid w:val="00F178DE"/>
    <w:rsid w:val="00F17B6F"/>
    <w:rsid w:val="00F17EC8"/>
    <w:rsid w:val="00F2096A"/>
    <w:rsid w:val="00F20FA3"/>
    <w:rsid w:val="00F21396"/>
    <w:rsid w:val="00F2151F"/>
    <w:rsid w:val="00F215E3"/>
    <w:rsid w:val="00F223BA"/>
    <w:rsid w:val="00F22696"/>
    <w:rsid w:val="00F22832"/>
    <w:rsid w:val="00F22CE6"/>
    <w:rsid w:val="00F23248"/>
    <w:rsid w:val="00F23515"/>
    <w:rsid w:val="00F254AA"/>
    <w:rsid w:val="00F26932"/>
    <w:rsid w:val="00F272FE"/>
    <w:rsid w:val="00F27B65"/>
    <w:rsid w:val="00F31712"/>
    <w:rsid w:val="00F32A5D"/>
    <w:rsid w:val="00F330BE"/>
    <w:rsid w:val="00F34147"/>
    <w:rsid w:val="00F34235"/>
    <w:rsid w:val="00F35807"/>
    <w:rsid w:val="00F35FD7"/>
    <w:rsid w:val="00F3645B"/>
    <w:rsid w:val="00F3666D"/>
    <w:rsid w:val="00F36ABB"/>
    <w:rsid w:val="00F36B71"/>
    <w:rsid w:val="00F36E26"/>
    <w:rsid w:val="00F37944"/>
    <w:rsid w:val="00F4054B"/>
    <w:rsid w:val="00F409F9"/>
    <w:rsid w:val="00F410FD"/>
    <w:rsid w:val="00F41194"/>
    <w:rsid w:val="00F41A44"/>
    <w:rsid w:val="00F44CC1"/>
    <w:rsid w:val="00F458C6"/>
    <w:rsid w:val="00F468EB"/>
    <w:rsid w:val="00F50AF2"/>
    <w:rsid w:val="00F50C89"/>
    <w:rsid w:val="00F5148B"/>
    <w:rsid w:val="00F5174C"/>
    <w:rsid w:val="00F520DB"/>
    <w:rsid w:val="00F5394A"/>
    <w:rsid w:val="00F53A2E"/>
    <w:rsid w:val="00F53AC0"/>
    <w:rsid w:val="00F53E06"/>
    <w:rsid w:val="00F568C2"/>
    <w:rsid w:val="00F575C4"/>
    <w:rsid w:val="00F57A79"/>
    <w:rsid w:val="00F6020C"/>
    <w:rsid w:val="00F603BD"/>
    <w:rsid w:val="00F6075F"/>
    <w:rsid w:val="00F60BB5"/>
    <w:rsid w:val="00F61F0B"/>
    <w:rsid w:val="00F624D1"/>
    <w:rsid w:val="00F62E07"/>
    <w:rsid w:val="00F63010"/>
    <w:rsid w:val="00F63433"/>
    <w:rsid w:val="00F64C32"/>
    <w:rsid w:val="00F64F5C"/>
    <w:rsid w:val="00F6509D"/>
    <w:rsid w:val="00F65181"/>
    <w:rsid w:val="00F65200"/>
    <w:rsid w:val="00F65C14"/>
    <w:rsid w:val="00F6657D"/>
    <w:rsid w:val="00F66943"/>
    <w:rsid w:val="00F67408"/>
    <w:rsid w:val="00F6750D"/>
    <w:rsid w:val="00F67609"/>
    <w:rsid w:val="00F70802"/>
    <w:rsid w:val="00F7153D"/>
    <w:rsid w:val="00F71EFE"/>
    <w:rsid w:val="00F72179"/>
    <w:rsid w:val="00F729D7"/>
    <w:rsid w:val="00F73DAA"/>
    <w:rsid w:val="00F73F6D"/>
    <w:rsid w:val="00F741C6"/>
    <w:rsid w:val="00F74736"/>
    <w:rsid w:val="00F75270"/>
    <w:rsid w:val="00F75F15"/>
    <w:rsid w:val="00F7659D"/>
    <w:rsid w:val="00F765FE"/>
    <w:rsid w:val="00F7762C"/>
    <w:rsid w:val="00F77890"/>
    <w:rsid w:val="00F77BD8"/>
    <w:rsid w:val="00F80361"/>
    <w:rsid w:val="00F808BD"/>
    <w:rsid w:val="00F80BDF"/>
    <w:rsid w:val="00F810CF"/>
    <w:rsid w:val="00F817A1"/>
    <w:rsid w:val="00F83720"/>
    <w:rsid w:val="00F84004"/>
    <w:rsid w:val="00F84335"/>
    <w:rsid w:val="00F84396"/>
    <w:rsid w:val="00F8525B"/>
    <w:rsid w:val="00F853A9"/>
    <w:rsid w:val="00F858A7"/>
    <w:rsid w:val="00F86D7F"/>
    <w:rsid w:val="00F87449"/>
    <w:rsid w:val="00F90177"/>
    <w:rsid w:val="00F9043D"/>
    <w:rsid w:val="00F90597"/>
    <w:rsid w:val="00F92CCC"/>
    <w:rsid w:val="00F93289"/>
    <w:rsid w:val="00F93368"/>
    <w:rsid w:val="00F93F31"/>
    <w:rsid w:val="00F94EB3"/>
    <w:rsid w:val="00F95A91"/>
    <w:rsid w:val="00F96289"/>
    <w:rsid w:val="00F96E71"/>
    <w:rsid w:val="00F97983"/>
    <w:rsid w:val="00FA1A45"/>
    <w:rsid w:val="00FA29F2"/>
    <w:rsid w:val="00FA2B1D"/>
    <w:rsid w:val="00FA2DFF"/>
    <w:rsid w:val="00FA332E"/>
    <w:rsid w:val="00FA3B1D"/>
    <w:rsid w:val="00FA3BB1"/>
    <w:rsid w:val="00FA4F82"/>
    <w:rsid w:val="00FA53D4"/>
    <w:rsid w:val="00FA55F7"/>
    <w:rsid w:val="00FA573F"/>
    <w:rsid w:val="00FA5885"/>
    <w:rsid w:val="00FA59FA"/>
    <w:rsid w:val="00FA6176"/>
    <w:rsid w:val="00FA6606"/>
    <w:rsid w:val="00FA6A70"/>
    <w:rsid w:val="00FA7CCE"/>
    <w:rsid w:val="00FA7D1D"/>
    <w:rsid w:val="00FB18AD"/>
    <w:rsid w:val="00FB1CC6"/>
    <w:rsid w:val="00FB1D33"/>
    <w:rsid w:val="00FB2015"/>
    <w:rsid w:val="00FB2CBC"/>
    <w:rsid w:val="00FB3067"/>
    <w:rsid w:val="00FB3247"/>
    <w:rsid w:val="00FB3B66"/>
    <w:rsid w:val="00FB3F96"/>
    <w:rsid w:val="00FB50AE"/>
    <w:rsid w:val="00FB5BB0"/>
    <w:rsid w:val="00FB6AC0"/>
    <w:rsid w:val="00FB7A4A"/>
    <w:rsid w:val="00FC0352"/>
    <w:rsid w:val="00FC0635"/>
    <w:rsid w:val="00FC1DA4"/>
    <w:rsid w:val="00FC1FAD"/>
    <w:rsid w:val="00FC29CB"/>
    <w:rsid w:val="00FC2F5B"/>
    <w:rsid w:val="00FC2FA6"/>
    <w:rsid w:val="00FC34DF"/>
    <w:rsid w:val="00FC3EFC"/>
    <w:rsid w:val="00FC4DF4"/>
    <w:rsid w:val="00FC4EC3"/>
    <w:rsid w:val="00FC549F"/>
    <w:rsid w:val="00FC580F"/>
    <w:rsid w:val="00FC5BDB"/>
    <w:rsid w:val="00FC641C"/>
    <w:rsid w:val="00FC6A57"/>
    <w:rsid w:val="00FD06A5"/>
    <w:rsid w:val="00FD1929"/>
    <w:rsid w:val="00FD1BB4"/>
    <w:rsid w:val="00FD2D86"/>
    <w:rsid w:val="00FD31DB"/>
    <w:rsid w:val="00FD41EF"/>
    <w:rsid w:val="00FD4BDA"/>
    <w:rsid w:val="00FD6439"/>
    <w:rsid w:val="00FD64CF"/>
    <w:rsid w:val="00FD729C"/>
    <w:rsid w:val="00FD73F0"/>
    <w:rsid w:val="00FD767D"/>
    <w:rsid w:val="00FE0AE3"/>
    <w:rsid w:val="00FE0B91"/>
    <w:rsid w:val="00FE2419"/>
    <w:rsid w:val="00FE2DC3"/>
    <w:rsid w:val="00FE4425"/>
    <w:rsid w:val="00FE4B42"/>
    <w:rsid w:val="00FE50AE"/>
    <w:rsid w:val="00FE67BD"/>
    <w:rsid w:val="00FE761B"/>
    <w:rsid w:val="00FF04E8"/>
    <w:rsid w:val="00FF172E"/>
    <w:rsid w:val="00FF1CA0"/>
    <w:rsid w:val="00FF1D13"/>
    <w:rsid w:val="00FF261E"/>
    <w:rsid w:val="00FF2EC3"/>
    <w:rsid w:val="00FF3907"/>
    <w:rsid w:val="00FF4475"/>
    <w:rsid w:val="00FF463C"/>
    <w:rsid w:val="00FF652D"/>
    <w:rsid w:val="00FF65E1"/>
    <w:rsid w:val="00FF6D34"/>
    <w:rsid w:val="00FF6D51"/>
    <w:rsid w:val="00FF70CF"/>
    <w:rsid w:val="00FF7218"/>
    <w:rsid w:val="00FF7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44B4D"/>
  <w15:chartTrackingRefBased/>
  <w15:docId w15:val="{4448FF83-44DC-4F73-B6F9-BC6AB06CA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qFormat="1"/>
    <w:lsdException w:name="index 1" w:qFormat="1"/>
    <w:lsdException w:name="index 2" w:semiHidden="1" w:qFormat="1"/>
    <w:lsdException w:name="index 3" w:semiHidden="1" w:qFormat="1"/>
    <w:lsdException w:name="index 4" w:semiHidden="1" w:qFormat="1"/>
    <w:lsdException w:name="index 5" w:semiHidden="1" w:qFormat="1"/>
    <w:lsdException w:name="index 6" w:semiHidden="1" w:qFormat="1"/>
    <w:lsdException w:name="index 7" w:semiHidden="1" w:qFormat="1"/>
    <w:lsdException w:name="index 8" w:semiHidden="1" w:qFormat="1"/>
    <w:lsdException w:name="index 9" w:semiHidden="1" w:qFormat="1"/>
    <w:lsdException w:name="toc 1" w:qFormat="1"/>
    <w:lsdException w:name="toc 2" w:qFormat="1"/>
    <w:lsdException w:name="toc 3" w:qFormat="1"/>
    <w:lsdException w:name="toc 4"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qFormat="1"/>
    <w:lsdException w:name="footnote text" w:qFormat="1"/>
    <w:lsdException w:name="annotation text" w:qFormat="1"/>
    <w:lsdException w:name="header" w:semiHidden="1" w:unhideWhenUsed="1" w:qFormat="1"/>
    <w:lsdException w:name="footer" w:semiHidden="1" w:unhideWhenUsed="1" w:qFormat="1"/>
    <w:lsdException w:name="index heading" w:qFormat="1"/>
    <w:lsdException w:name="caption" w:semiHidden="1" w:unhideWhenUsed="1" w:qFormat="1"/>
    <w:lsdException w:name="table of figures" w:semiHidden="1" w:qFormat="1"/>
    <w:lsdException w:name="envelope address" w:qFormat="1"/>
    <w:lsdException w:name="envelope return" w:qFormat="1"/>
    <w:lsdException w:name="footnote reference" w:qFormat="1"/>
    <w:lsdException w:name="annotation reference" w:qFormat="1"/>
    <w:lsdException w:name="line number" w:semiHidden="1" w:qFormat="1"/>
    <w:lsdException w:name="page number" w:semiHidden="1" w:qFormat="1"/>
    <w:lsdException w:name="endnote reference" w:qFormat="1"/>
    <w:lsdException w:name="endnote text" w:qFormat="1"/>
    <w:lsdException w:name="table of authorities" w:semiHidden="1" w:qFormat="1"/>
    <w:lsdException w:name="macro" w:qFormat="1"/>
    <w:lsdException w:name="toa heading" w:semiHidden="1" w:qFormat="1"/>
    <w:lsdException w:name="List" w:semiHidden="1" w:unhideWhenUsed="1" w:qFormat="1"/>
    <w:lsdException w:name="List Bullet" w:semiHidden="1" w:unhideWhenUsed="1" w:qFormat="1"/>
    <w:lsdException w:name="List Number" w:semiHidden="1" w:unhideWhenUsed="1" w:qFormat="1"/>
    <w:lsdException w:name="List 2" w:qFormat="1"/>
    <w:lsdException w:name="List 3" w:qFormat="1"/>
    <w:lsdException w:name="List 4" w:qFormat="1"/>
    <w:lsdException w:name="List 5" w:qFormat="1"/>
    <w:lsdException w:name="List Bullet 2" w:semiHidden="1" w:unhideWhenUsed="1" w:qFormat="1"/>
    <w:lsdException w:name="List Bullet 3" w:semiHidden="1" w:unhideWhenUsed="1" w:qFormat="1"/>
    <w:lsdException w:name="List Bullet 4" w:qFormat="1"/>
    <w:lsdException w:name="List Bullet 5" w:qFormat="1"/>
    <w:lsdException w:name="List Number 2" w:semiHidden="1" w:unhideWhenUsed="1"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nhideWhenUsed="1" w:qFormat="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qFormat="1"/>
    <w:lsdException w:name="List Continue 4" w:semiHidden="1" w:qFormat="1"/>
    <w:lsdException w:name="List Continue 5" w:semiHidden="1" w:qFormat="1"/>
    <w:lsdException w:name="Message Header" w:semiHidden="1" w:qFormat="1"/>
    <w:lsdException w:name="Subtitle" w:qFormat="1"/>
    <w:lsdException w:name="Salutation"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qFormat="1"/>
    <w:lsdException w:name="FollowedHyperlink" w:qFormat="1"/>
    <w:lsdException w:name="Strong" w:semiHidden="1" w:qFormat="1"/>
    <w:lsdException w:name="Emphasis" w:qFormat="1"/>
    <w:lsdException w:name="Document Map" w:qFormat="1"/>
    <w:lsdException w:name="Plain Text" w:semiHidden="1" w:qFormat="1"/>
    <w:lsdException w:name="E-mail Signature" w:semiHidden="1" w:qFormat="1"/>
    <w:lsdException w:name="HTML Top of Form" w:semiHidden="1" w:uiPriority="99" w:unhideWhenUsed="1"/>
    <w:lsdException w:name="HTML Bottom of Form" w:semiHidden="1" w:uiPriority="99" w:unhideWhenUsed="1"/>
    <w:lsdException w:name="Normal (Web)" w:semiHidden="1"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Typewriter" w:semiHidden="1" w:unhideWhenUsed="1" w:qFormat="1"/>
    <w:lsdException w:name="HTML Variable" w:semiHidden="1" w:unhideWhenUsed="1" w:qFormat="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qFormat="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qFormat="1"/>
    <w:lsdException w:name="Intense Quote" w:semiHidden="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qFormat="1"/>
    <w:lsdException w:name="Intense Emphasis" w:semiHidden="1" w:qFormat="1"/>
    <w:lsdException w:name="Subtle Reference" w:semiHidden="1" w:qFormat="1"/>
    <w:lsdException w:name="Intense Reference" w:semiHidden="1" w:qFormat="1"/>
    <w:lsdException w:name="Book Title" w:qFormat="1"/>
    <w:lsdException w:name="Bibliography" w:semiHidden="1" w:unhideWhenUsed="1" w:qFormat="1"/>
    <w:lsdException w:name="TOC Heading" w:semiHidden="1" w:unhideWhenUsed="1" w:qFormat="1"/>
    <w:lsdException w:name="Mention" w:semiHidden="1" w:qFormat="1"/>
    <w:lsdException w:name="Smart Hyperlink" w:semiHidden="1" w:qFormat="1"/>
    <w:lsdException w:name="Hashtag" w:semiHidden="1" w:qFormat="1"/>
    <w:lsdException w:name="Unresolved Mention" w:qFormat="1"/>
    <w:lsdException w:name="Smart Link" w:semiHidden="1" w:unhideWhenUsed="1" w:qFormat="1"/>
  </w:latentStyles>
  <w:style w:type="paragraph" w:default="1" w:styleId="Normal">
    <w:name w:val="Normal"/>
    <w:qFormat/>
    <w:rsid w:val="0026612F"/>
    <w:pPr>
      <w:spacing w:after="180" w:line="280" w:lineRule="atLeast"/>
    </w:pPr>
    <w:rPr>
      <w:sz w:val="20"/>
    </w:rPr>
  </w:style>
  <w:style w:type="paragraph" w:styleId="Heading1">
    <w:name w:val="heading 1"/>
    <w:basedOn w:val="Normal"/>
    <w:next w:val="Normal"/>
    <w:link w:val="Heading1Char"/>
    <w:qFormat/>
    <w:rsid w:val="00B36B45"/>
    <w:pPr>
      <w:keepNext/>
      <w:keepLines/>
      <w:spacing w:before="240" w:after="0"/>
      <w:outlineLvl w:val="0"/>
    </w:pPr>
    <w:rPr>
      <w:rFonts w:asciiTheme="majorHAnsi" w:eastAsiaTheme="majorEastAsia" w:hAnsiTheme="majorHAnsi" w:cstheme="majorBidi"/>
      <w:color w:val="081E36" w:themeColor="accent1" w:themeShade="BF"/>
      <w:sz w:val="32"/>
      <w:szCs w:val="32"/>
    </w:rPr>
  </w:style>
  <w:style w:type="paragraph" w:styleId="Heading2">
    <w:name w:val="heading 2"/>
    <w:basedOn w:val="Normal"/>
    <w:next w:val="Normal"/>
    <w:link w:val="Heading2Char"/>
    <w:qFormat/>
    <w:rsid w:val="00B36B45"/>
    <w:pPr>
      <w:keepNext/>
      <w:keepLines/>
      <w:numPr>
        <w:ilvl w:val="1"/>
        <w:numId w:val="20"/>
      </w:numPr>
      <w:spacing w:before="40" w:after="0"/>
      <w:outlineLvl w:val="1"/>
    </w:pPr>
    <w:rPr>
      <w:rFonts w:asciiTheme="majorHAnsi" w:eastAsiaTheme="majorEastAsia" w:hAnsiTheme="majorHAnsi" w:cstheme="majorBidi"/>
      <w:color w:val="081E36" w:themeColor="accent1" w:themeShade="BF"/>
      <w:sz w:val="26"/>
      <w:szCs w:val="26"/>
    </w:rPr>
  </w:style>
  <w:style w:type="paragraph" w:styleId="Heading3">
    <w:name w:val="heading 3"/>
    <w:basedOn w:val="Normal"/>
    <w:next w:val="Normal"/>
    <w:link w:val="Heading3Char"/>
    <w:qFormat/>
    <w:rsid w:val="00B36B45"/>
    <w:pPr>
      <w:keepNext/>
      <w:keepLines/>
      <w:numPr>
        <w:ilvl w:val="2"/>
        <w:numId w:val="20"/>
      </w:numPr>
      <w:spacing w:before="40" w:after="0"/>
      <w:outlineLvl w:val="2"/>
    </w:pPr>
    <w:rPr>
      <w:rFonts w:asciiTheme="majorHAnsi" w:eastAsiaTheme="majorEastAsia" w:hAnsiTheme="majorHAnsi" w:cstheme="majorBidi"/>
      <w:color w:val="051424" w:themeColor="accent1" w:themeShade="7F"/>
      <w:sz w:val="24"/>
      <w:szCs w:val="24"/>
    </w:rPr>
  </w:style>
  <w:style w:type="paragraph" w:styleId="Heading4">
    <w:name w:val="heading 4"/>
    <w:basedOn w:val="Normal"/>
    <w:next w:val="Normal"/>
    <w:link w:val="Heading4Char"/>
    <w:qFormat/>
    <w:rsid w:val="00B36B45"/>
    <w:pPr>
      <w:keepNext/>
      <w:keepLines/>
      <w:numPr>
        <w:ilvl w:val="3"/>
        <w:numId w:val="20"/>
      </w:numPr>
      <w:spacing w:before="40" w:after="0"/>
      <w:outlineLvl w:val="3"/>
    </w:pPr>
    <w:rPr>
      <w:rFonts w:asciiTheme="majorHAnsi" w:eastAsiaTheme="majorEastAsia" w:hAnsiTheme="majorHAnsi" w:cstheme="majorBidi"/>
      <w:i/>
      <w:iCs/>
      <w:color w:val="081E36" w:themeColor="accent1" w:themeShade="BF"/>
    </w:rPr>
  </w:style>
  <w:style w:type="paragraph" w:styleId="Heading5">
    <w:name w:val="heading 5"/>
    <w:basedOn w:val="Normal"/>
    <w:next w:val="Normal"/>
    <w:link w:val="Heading5Char"/>
    <w:qFormat/>
    <w:rsid w:val="00B36B45"/>
    <w:pPr>
      <w:keepNext/>
      <w:keepLines/>
      <w:numPr>
        <w:ilvl w:val="4"/>
        <w:numId w:val="20"/>
      </w:numPr>
      <w:spacing w:before="40" w:after="0"/>
      <w:outlineLvl w:val="4"/>
    </w:pPr>
    <w:rPr>
      <w:rFonts w:asciiTheme="majorHAnsi" w:eastAsiaTheme="majorEastAsia" w:hAnsiTheme="majorHAnsi" w:cstheme="majorBidi"/>
      <w:color w:val="081E36" w:themeColor="accent1" w:themeShade="BF"/>
    </w:rPr>
  </w:style>
  <w:style w:type="paragraph" w:styleId="Heading6">
    <w:name w:val="heading 6"/>
    <w:basedOn w:val="Normal"/>
    <w:next w:val="Normal"/>
    <w:link w:val="Heading6Char"/>
    <w:qFormat/>
    <w:rsid w:val="00B36B45"/>
    <w:pPr>
      <w:keepNext/>
      <w:keepLines/>
      <w:numPr>
        <w:ilvl w:val="5"/>
        <w:numId w:val="20"/>
      </w:numPr>
      <w:spacing w:before="40" w:after="0"/>
      <w:outlineLvl w:val="5"/>
    </w:pPr>
    <w:rPr>
      <w:rFonts w:asciiTheme="majorHAnsi" w:eastAsiaTheme="majorEastAsia" w:hAnsiTheme="majorHAnsi" w:cstheme="majorBidi"/>
      <w:color w:val="051424" w:themeColor="accent1" w:themeShade="7F"/>
    </w:rPr>
  </w:style>
  <w:style w:type="paragraph" w:styleId="Heading7">
    <w:name w:val="heading 7"/>
    <w:basedOn w:val="Normal"/>
    <w:next w:val="Normal"/>
    <w:link w:val="Heading7Char"/>
    <w:qFormat/>
    <w:rsid w:val="00B36B45"/>
    <w:pPr>
      <w:keepNext/>
      <w:keepLines/>
      <w:numPr>
        <w:ilvl w:val="6"/>
        <w:numId w:val="20"/>
      </w:numPr>
      <w:spacing w:before="40" w:after="0"/>
      <w:outlineLvl w:val="6"/>
    </w:pPr>
    <w:rPr>
      <w:rFonts w:asciiTheme="majorHAnsi" w:eastAsiaTheme="majorEastAsia" w:hAnsiTheme="majorHAnsi" w:cstheme="majorBidi"/>
      <w:i/>
      <w:iCs/>
      <w:color w:val="051424" w:themeColor="accent1" w:themeShade="7F"/>
    </w:rPr>
  </w:style>
  <w:style w:type="paragraph" w:styleId="Heading8">
    <w:name w:val="heading 8"/>
    <w:basedOn w:val="Normal"/>
    <w:next w:val="Normal"/>
    <w:link w:val="Heading8Char"/>
    <w:qFormat/>
    <w:rsid w:val="00B36B45"/>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36B45"/>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nhideWhenUsed/>
    <w:qFormat/>
  </w:style>
  <w:style w:type="table" w:default="1" w:styleId="TableNormal">
    <w:name w:val="Normal Table"/>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TableTextLeft">
    <w:name w:val="Table Text Left"/>
    <w:qFormat/>
    <w:rsid w:val="00F409F9"/>
    <w:pPr>
      <w:spacing w:before="40" w:after="20" w:line="240" w:lineRule="atLeast"/>
    </w:pPr>
    <w:rPr>
      <w:rFonts w:asciiTheme="majorHAnsi" w:hAnsiTheme="majorHAnsi"/>
      <w:color w:val="000000" w:themeColor="text1"/>
      <w:sz w:val="18"/>
    </w:rPr>
  </w:style>
  <w:style w:type="paragraph" w:customStyle="1" w:styleId="Paragraph">
    <w:name w:val="Paragraph"/>
    <w:basedOn w:val="Normal"/>
    <w:qFormat/>
    <w:rsid w:val="00822F6D"/>
  </w:style>
  <w:style w:type="paragraph" w:customStyle="1" w:styleId="ParagraphContinued">
    <w:name w:val="Paragraph Continued"/>
    <w:basedOn w:val="Paragraph"/>
    <w:next w:val="Paragraph"/>
    <w:qFormat/>
    <w:rsid w:val="008C2BE2"/>
    <w:pPr>
      <w:spacing w:before="180"/>
    </w:pPr>
  </w:style>
  <w:style w:type="character" w:customStyle="1" w:styleId="Heading1Char">
    <w:name w:val="Heading 1 Char"/>
    <w:basedOn w:val="DefaultParagraphFont"/>
    <w:link w:val="Heading1"/>
    <w:rsid w:val="00B36B45"/>
    <w:rPr>
      <w:rFonts w:asciiTheme="majorHAnsi" w:eastAsiaTheme="majorEastAsia" w:hAnsiTheme="majorHAnsi" w:cstheme="majorBidi"/>
      <w:color w:val="081E36" w:themeColor="accent1" w:themeShade="BF"/>
      <w:sz w:val="32"/>
      <w:szCs w:val="32"/>
    </w:rPr>
  </w:style>
  <w:style w:type="paragraph" w:customStyle="1" w:styleId="H1">
    <w:name w:val="H1"/>
    <w:basedOn w:val="Heading1"/>
    <w:next w:val="Paragraph"/>
    <w:link w:val="H1Char"/>
    <w:qFormat/>
    <w:rsid w:val="00E97A25"/>
    <w:pPr>
      <w:spacing w:before="180" w:after="60" w:line="360" w:lineRule="atLeast"/>
      <w:ind w:left="432" w:hanging="432"/>
      <w:outlineLvl w:val="1"/>
    </w:pPr>
    <w:rPr>
      <w:color w:val="046B5C" w:themeColor="text2"/>
      <w:sz w:val="30"/>
    </w:rPr>
  </w:style>
  <w:style w:type="paragraph" w:styleId="ListBullet">
    <w:name w:val="List Bullet"/>
    <w:basedOn w:val="Normal"/>
    <w:qFormat/>
    <w:rsid w:val="00E7799A"/>
    <w:pPr>
      <w:numPr>
        <w:numId w:val="5"/>
      </w:numPr>
      <w:spacing w:after="100"/>
      <w:ind w:left="187" w:hanging="187"/>
    </w:pPr>
  </w:style>
  <w:style w:type="paragraph" w:styleId="ListNumber">
    <w:name w:val="List Number"/>
    <w:basedOn w:val="Normal"/>
    <w:qFormat/>
    <w:rsid w:val="00B36B45"/>
    <w:pPr>
      <w:numPr>
        <w:numId w:val="6"/>
      </w:numPr>
      <w:adjustRightInd w:val="0"/>
      <w:spacing w:after="80"/>
    </w:pPr>
  </w:style>
  <w:style w:type="paragraph" w:styleId="BalloonText">
    <w:name w:val="Balloon Text"/>
    <w:basedOn w:val="Normal"/>
    <w:link w:val="BalloonTextChar"/>
    <w:qFormat/>
    <w:rsid w:val="00B36B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B36B45"/>
    <w:rPr>
      <w:rFonts w:ascii="Segoe UI" w:hAnsi="Segoe UI" w:cs="Segoe UI"/>
      <w:sz w:val="18"/>
      <w:szCs w:val="18"/>
    </w:rPr>
  </w:style>
  <w:style w:type="table" w:styleId="GridTable2-Accent1">
    <w:name w:val="Grid Table 2 Accent 1"/>
    <w:basedOn w:val="TableNormal"/>
    <w:rsid w:val="00B36B45"/>
    <w:pPr>
      <w:spacing w:after="0" w:line="240" w:lineRule="auto"/>
    </w:pPr>
    <w:tblPr>
      <w:tblStyleRowBandSize w:val="1"/>
      <w:tblStyleColBandSize w:val="1"/>
      <w:tblBorders>
        <w:top w:val="single" w:sz="2" w:space="0" w:color="217BDD" w:themeColor="accent1" w:themeTint="99"/>
        <w:bottom w:val="single" w:sz="2" w:space="0" w:color="217BDD" w:themeColor="accent1" w:themeTint="99"/>
        <w:insideH w:val="single" w:sz="2" w:space="0" w:color="217BDD" w:themeColor="accent1" w:themeTint="99"/>
        <w:insideV w:val="single" w:sz="2" w:space="0" w:color="217BDD" w:themeColor="accent1" w:themeTint="99"/>
      </w:tblBorders>
    </w:tblPr>
    <w:tblStylePr w:type="firstRow">
      <w:rPr>
        <w:b/>
        <w:bCs/>
      </w:rPr>
      <w:tblPr/>
      <w:tcPr>
        <w:tcBorders>
          <w:top w:val="nil"/>
          <w:bottom w:val="single" w:sz="12" w:space="0" w:color="217BDD" w:themeColor="accent1" w:themeTint="99"/>
          <w:insideH w:val="nil"/>
          <w:insideV w:val="nil"/>
        </w:tcBorders>
        <w:shd w:val="clear" w:color="auto" w:fill="FFFFFF" w:themeFill="background1"/>
      </w:tcPr>
    </w:tblStylePr>
    <w:tblStylePr w:type="lastRow">
      <w:rPr>
        <w:b/>
        <w:bCs/>
      </w:rPr>
      <w:tblPr/>
      <w:tcPr>
        <w:tcBorders>
          <w:top w:val="double" w:sz="2" w:space="0" w:color="217B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GridTable4-Accent1">
    <w:name w:val="Grid Table 4 Accent 1"/>
    <w:basedOn w:val="TableNormal"/>
    <w:rsid w:val="00B36B45"/>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color w:val="FFFFFF" w:themeColor="background1"/>
      </w:rPr>
      <w:tblPr/>
      <w:tcPr>
        <w:tcBorders>
          <w:top w:val="single" w:sz="4" w:space="0" w:color="0B2949" w:themeColor="accent1"/>
          <w:left w:val="single" w:sz="4" w:space="0" w:color="0B2949" w:themeColor="accent1"/>
          <w:bottom w:val="single" w:sz="4" w:space="0" w:color="0B2949" w:themeColor="accent1"/>
          <w:right w:val="single" w:sz="4" w:space="0" w:color="0B2949" w:themeColor="accent1"/>
          <w:insideH w:val="nil"/>
          <w:insideV w:val="nil"/>
        </w:tcBorders>
        <w:shd w:val="clear" w:color="auto" w:fill="0B2949" w:themeFill="accent1"/>
      </w:tcPr>
    </w:tblStylePr>
    <w:tblStylePr w:type="lastRow">
      <w:rPr>
        <w:b/>
        <w:bCs/>
      </w:rPr>
      <w:tblPr/>
      <w:tcPr>
        <w:tcBorders>
          <w:top w:val="double" w:sz="4" w:space="0" w:color="0B2949" w:themeColor="accent1"/>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paragraph" w:styleId="Header">
    <w:name w:val="header"/>
    <w:basedOn w:val="Normal"/>
    <w:link w:val="HeaderChar"/>
    <w:qFormat/>
    <w:rsid w:val="00F117E3"/>
    <w:pPr>
      <w:tabs>
        <w:tab w:val="right" w:pos="10080"/>
      </w:tabs>
      <w:spacing w:after="0" w:line="240" w:lineRule="auto"/>
      <w:ind w:left="-720" w:right="-720"/>
    </w:pPr>
    <w:rPr>
      <w:rFonts w:asciiTheme="majorHAnsi" w:hAnsiTheme="majorHAnsi"/>
      <w:sz w:val="18"/>
    </w:rPr>
  </w:style>
  <w:style w:type="character" w:customStyle="1" w:styleId="HeaderChar">
    <w:name w:val="Header Char"/>
    <w:basedOn w:val="DefaultParagraphFont"/>
    <w:link w:val="Header"/>
    <w:rsid w:val="00F117E3"/>
    <w:rPr>
      <w:rFonts w:asciiTheme="majorHAnsi" w:hAnsiTheme="majorHAnsi"/>
      <w:sz w:val="18"/>
    </w:rPr>
  </w:style>
  <w:style w:type="paragraph" w:styleId="Footer">
    <w:name w:val="footer"/>
    <w:basedOn w:val="Normal"/>
    <w:link w:val="FooterChar"/>
    <w:qFormat/>
    <w:rsid w:val="0015141D"/>
    <w:pPr>
      <w:pBdr>
        <w:top w:val="single" w:sz="4" w:space="4" w:color="046B5C" w:themeColor="text2"/>
      </w:pBdr>
      <w:tabs>
        <w:tab w:val="right" w:pos="10080"/>
      </w:tabs>
      <w:spacing w:before="120" w:after="0" w:line="240" w:lineRule="auto"/>
      <w:ind w:left="-720" w:right="-720"/>
    </w:pPr>
    <w:rPr>
      <w:rFonts w:asciiTheme="majorHAnsi" w:hAnsiTheme="majorHAnsi"/>
      <w:sz w:val="18"/>
    </w:rPr>
  </w:style>
  <w:style w:type="character" w:customStyle="1" w:styleId="FooterChar">
    <w:name w:val="Footer Char"/>
    <w:basedOn w:val="DefaultParagraphFont"/>
    <w:link w:val="Footer"/>
    <w:rsid w:val="0015141D"/>
    <w:rPr>
      <w:rFonts w:asciiTheme="majorHAnsi" w:hAnsiTheme="majorHAnsi"/>
      <w:sz w:val="18"/>
    </w:rPr>
  </w:style>
  <w:style w:type="paragraph" w:styleId="Title">
    <w:name w:val="Title"/>
    <w:basedOn w:val="Normal"/>
    <w:next w:val="Paragraph"/>
    <w:link w:val="TitleChar"/>
    <w:qFormat/>
    <w:rsid w:val="00643B84"/>
    <w:pPr>
      <w:keepNext/>
      <w:keepLines/>
      <w:spacing w:after="120" w:line="440" w:lineRule="atLeast"/>
      <w:outlineLvl w:val="0"/>
    </w:pPr>
    <w:rPr>
      <w:rFonts w:asciiTheme="majorHAnsi" w:eastAsiaTheme="majorEastAsia" w:hAnsiTheme="majorHAnsi" w:cstheme="majorBidi"/>
      <w:b/>
      <w:color w:val="0B2949" w:themeColor="accent1"/>
      <w:spacing w:val="-10"/>
      <w:kern w:val="28"/>
      <w:sz w:val="40"/>
      <w:szCs w:val="56"/>
    </w:rPr>
  </w:style>
  <w:style w:type="character" w:customStyle="1" w:styleId="TitleChar">
    <w:name w:val="Title Char"/>
    <w:basedOn w:val="DefaultParagraphFont"/>
    <w:link w:val="Title"/>
    <w:rsid w:val="00643B84"/>
    <w:rPr>
      <w:rFonts w:asciiTheme="majorHAnsi" w:eastAsiaTheme="majorEastAsia" w:hAnsiTheme="majorHAnsi" w:cstheme="majorBidi"/>
      <w:b/>
      <w:color w:val="0B2949" w:themeColor="accent1"/>
      <w:spacing w:val="-10"/>
      <w:kern w:val="28"/>
      <w:sz w:val="40"/>
      <w:szCs w:val="56"/>
    </w:rPr>
  </w:style>
  <w:style w:type="paragraph" w:styleId="ListNumber2">
    <w:name w:val="List Number 2"/>
    <w:basedOn w:val="Normal"/>
    <w:qFormat/>
    <w:rsid w:val="00B36B45"/>
    <w:pPr>
      <w:numPr>
        <w:numId w:val="12"/>
      </w:numPr>
      <w:adjustRightInd w:val="0"/>
      <w:spacing w:after="80"/>
    </w:pPr>
  </w:style>
  <w:style w:type="paragraph" w:styleId="ListBullet2">
    <w:name w:val="List Bullet 2"/>
    <w:basedOn w:val="Normal"/>
    <w:qFormat/>
    <w:rsid w:val="003C63E3"/>
    <w:pPr>
      <w:numPr>
        <w:numId w:val="8"/>
      </w:numPr>
      <w:spacing w:after="100"/>
      <w:ind w:left="374" w:hanging="187"/>
    </w:pPr>
  </w:style>
  <w:style w:type="paragraph" w:styleId="List">
    <w:name w:val="List"/>
    <w:basedOn w:val="Normal"/>
    <w:qFormat/>
    <w:rsid w:val="00B36B45"/>
    <w:pPr>
      <w:numPr>
        <w:numId w:val="7"/>
      </w:numPr>
      <w:spacing w:after="80"/>
    </w:pPr>
  </w:style>
  <w:style w:type="paragraph" w:styleId="ListContinue">
    <w:name w:val="List Continue"/>
    <w:basedOn w:val="Normal"/>
    <w:qFormat/>
    <w:rsid w:val="003A6B44"/>
    <w:pPr>
      <w:spacing w:after="80"/>
      <w:ind w:left="180"/>
    </w:pPr>
  </w:style>
  <w:style w:type="character" w:styleId="Emphasis">
    <w:name w:val="Emphasis"/>
    <w:basedOn w:val="DefaultParagraphFont"/>
    <w:qFormat/>
    <w:rsid w:val="002721E8"/>
    <w:rPr>
      <w:i/>
      <w:iCs/>
    </w:rPr>
  </w:style>
  <w:style w:type="paragraph" w:styleId="Caption">
    <w:name w:val="caption"/>
    <w:basedOn w:val="TableTextLeft"/>
    <w:next w:val="Normal"/>
    <w:qFormat/>
    <w:rsid w:val="00B36B45"/>
    <w:pPr>
      <w:spacing w:before="240" w:after="60"/>
    </w:pPr>
    <w:rPr>
      <w:b/>
      <w:bCs/>
      <w:sz w:val="20"/>
      <w:szCs w:val="20"/>
    </w:rPr>
  </w:style>
  <w:style w:type="paragraph" w:styleId="ListContinue2">
    <w:name w:val="List Continue 2"/>
    <w:basedOn w:val="Normal"/>
    <w:qFormat/>
    <w:rsid w:val="003A6B44"/>
    <w:pPr>
      <w:spacing w:after="80"/>
      <w:ind w:left="360"/>
    </w:pPr>
  </w:style>
  <w:style w:type="paragraph" w:customStyle="1" w:styleId="Acknowledgment">
    <w:name w:val="Acknowledgment"/>
    <w:basedOn w:val="H1"/>
    <w:next w:val="ParagraphContinued"/>
    <w:qFormat/>
    <w:rsid w:val="00B36B45"/>
    <w:rPr>
      <w:b/>
      <w:bCs/>
    </w:rPr>
  </w:style>
  <w:style w:type="paragraph" w:styleId="ListBullet3">
    <w:name w:val="List Bullet 3"/>
    <w:basedOn w:val="Normal"/>
    <w:qFormat/>
    <w:rsid w:val="00E7799A"/>
    <w:pPr>
      <w:numPr>
        <w:numId w:val="9"/>
      </w:numPr>
      <w:spacing w:after="100"/>
      <w:ind w:left="547" w:hanging="187"/>
    </w:pPr>
  </w:style>
  <w:style w:type="paragraph" w:styleId="NoteHeading">
    <w:name w:val="Note Heading"/>
    <w:basedOn w:val="H1"/>
    <w:next w:val="Notes"/>
    <w:link w:val="NoteHeadingChar"/>
    <w:qFormat/>
    <w:rsid w:val="00B36B45"/>
    <w:pPr>
      <w:outlineLvl w:val="9"/>
    </w:pPr>
    <w:rPr>
      <w:color w:val="0B2949" w:themeColor="accent1"/>
      <w:sz w:val="20"/>
    </w:rPr>
  </w:style>
  <w:style w:type="character" w:customStyle="1" w:styleId="NoteHeadingChar">
    <w:name w:val="Note Heading Char"/>
    <w:basedOn w:val="DefaultParagraphFont"/>
    <w:link w:val="NoteHeading"/>
    <w:rsid w:val="00B36B45"/>
    <w:rPr>
      <w:rFonts w:asciiTheme="majorHAnsi" w:eastAsiaTheme="majorEastAsia" w:hAnsiTheme="majorHAnsi" w:cstheme="majorBidi"/>
      <w:b/>
      <w:color w:val="0B2949" w:themeColor="accent1"/>
      <w:sz w:val="20"/>
      <w:szCs w:val="32"/>
    </w:rPr>
  </w:style>
  <w:style w:type="paragraph" w:customStyle="1" w:styleId="Anchor">
    <w:name w:val="Anchor"/>
    <w:qFormat/>
    <w:rsid w:val="00B36B45"/>
    <w:pPr>
      <w:spacing w:after="0" w:line="20" w:lineRule="exact"/>
    </w:pPr>
    <w:rPr>
      <w:b/>
      <w:bCs/>
      <w:color w:val="FFFFFF" w:themeColor="background1"/>
      <w:sz w:val="2"/>
    </w:rPr>
  </w:style>
  <w:style w:type="paragraph" w:customStyle="1" w:styleId="AppendixTitle">
    <w:name w:val="Appendix Title"/>
    <w:basedOn w:val="H1"/>
    <w:next w:val="H2"/>
    <w:qFormat/>
    <w:rsid w:val="00356CB9"/>
    <w:pPr>
      <w:spacing w:after="240"/>
      <w:jc w:val="center"/>
    </w:pPr>
    <w:rPr>
      <w:bCs/>
    </w:rPr>
  </w:style>
  <w:style w:type="paragraph" w:customStyle="1" w:styleId="AttachmentTitle">
    <w:name w:val="Attachment Title"/>
    <w:basedOn w:val="H1"/>
    <w:next w:val="H2"/>
    <w:qFormat/>
    <w:rsid w:val="00B36B45"/>
    <w:pPr>
      <w:jc w:val="center"/>
    </w:pPr>
    <w:rPr>
      <w:bCs/>
    </w:rPr>
  </w:style>
  <w:style w:type="paragraph" w:customStyle="1" w:styleId="Banner">
    <w:name w:val="Banner"/>
    <w:basedOn w:val="H1"/>
    <w:qFormat/>
    <w:rsid w:val="00D85465"/>
    <w:pPr>
      <w:shd w:val="clear" w:color="auto" w:fill="FFFFFF" w:themeFill="background1"/>
      <w:spacing w:after="180"/>
    </w:pPr>
    <w:rPr>
      <w:bCs/>
      <w:color w:val="0B2949" w:themeColor="accent1"/>
    </w:rPr>
  </w:style>
  <w:style w:type="paragraph" w:styleId="Bibliography">
    <w:name w:val="Bibliography"/>
    <w:basedOn w:val="Normal"/>
    <w:qFormat/>
    <w:rsid w:val="0008689E"/>
    <w:pPr>
      <w:spacing w:after="80" w:line="240" w:lineRule="atLeast"/>
    </w:pPr>
    <w:rPr>
      <w:sz w:val="18"/>
    </w:rPr>
  </w:style>
  <w:style w:type="paragraph" w:styleId="BlockText">
    <w:name w:val="Block Text"/>
    <w:basedOn w:val="Normal"/>
    <w:qFormat/>
    <w:rsid w:val="00B36B45"/>
    <w:pPr>
      <w:pBdr>
        <w:top w:val="single" w:sz="2" w:space="10" w:color="0B2949" w:themeColor="accent1"/>
        <w:left w:val="single" w:sz="2" w:space="10" w:color="0B2949" w:themeColor="accent1"/>
        <w:bottom w:val="single" w:sz="2" w:space="10" w:color="0B2949" w:themeColor="accent1"/>
        <w:right w:val="single" w:sz="2" w:space="10" w:color="0B2949" w:themeColor="accent1"/>
      </w:pBdr>
      <w:ind w:left="1152" w:right="1152"/>
    </w:pPr>
    <w:rPr>
      <w:rFonts w:eastAsiaTheme="minorEastAsia"/>
      <w:i/>
      <w:iCs/>
      <w:color w:val="0B2949" w:themeColor="accent1"/>
    </w:rPr>
  </w:style>
  <w:style w:type="paragraph" w:styleId="BodyText">
    <w:name w:val="Body Text"/>
    <w:basedOn w:val="Normal"/>
    <w:link w:val="BodyTextChar"/>
    <w:qFormat/>
    <w:rsid w:val="00B36B45"/>
    <w:pPr>
      <w:spacing w:after="120"/>
    </w:pPr>
  </w:style>
  <w:style w:type="character" w:customStyle="1" w:styleId="BodyTextChar">
    <w:name w:val="Body Text Char"/>
    <w:basedOn w:val="DefaultParagraphFont"/>
    <w:link w:val="BodyText"/>
    <w:rsid w:val="00B36B45"/>
  </w:style>
  <w:style w:type="paragraph" w:styleId="BodyText2">
    <w:name w:val="Body Text 2"/>
    <w:basedOn w:val="Normal"/>
    <w:link w:val="BodyText2Char"/>
    <w:qFormat/>
    <w:rsid w:val="00B36B45"/>
    <w:pPr>
      <w:spacing w:after="120" w:line="480" w:lineRule="auto"/>
    </w:pPr>
  </w:style>
  <w:style w:type="character" w:customStyle="1" w:styleId="BodyText2Char">
    <w:name w:val="Body Text 2 Char"/>
    <w:basedOn w:val="DefaultParagraphFont"/>
    <w:link w:val="BodyText2"/>
    <w:rsid w:val="00B36B45"/>
  </w:style>
  <w:style w:type="paragraph" w:styleId="BodyText3">
    <w:name w:val="Body Text 3"/>
    <w:basedOn w:val="Normal"/>
    <w:link w:val="BodyText3Char"/>
    <w:qFormat/>
    <w:rsid w:val="00B36B45"/>
    <w:pPr>
      <w:spacing w:after="120"/>
    </w:pPr>
    <w:rPr>
      <w:sz w:val="16"/>
      <w:szCs w:val="16"/>
    </w:rPr>
  </w:style>
  <w:style w:type="character" w:customStyle="1" w:styleId="BodyText3Char">
    <w:name w:val="Body Text 3 Char"/>
    <w:basedOn w:val="DefaultParagraphFont"/>
    <w:link w:val="BodyText3"/>
    <w:rsid w:val="00B36B45"/>
    <w:rPr>
      <w:sz w:val="16"/>
      <w:szCs w:val="16"/>
    </w:rPr>
  </w:style>
  <w:style w:type="paragraph" w:styleId="BodyTextFirstIndent">
    <w:name w:val="Body Text First Indent"/>
    <w:basedOn w:val="BodyText"/>
    <w:link w:val="BodyTextFirstIndentChar"/>
    <w:qFormat/>
    <w:rsid w:val="00B36B45"/>
    <w:pPr>
      <w:spacing w:after="160"/>
      <w:ind w:firstLine="360"/>
    </w:pPr>
  </w:style>
  <w:style w:type="character" w:customStyle="1" w:styleId="BodyTextFirstIndentChar">
    <w:name w:val="Body Text First Indent Char"/>
    <w:basedOn w:val="BodyTextChar"/>
    <w:link w:val="BodyTextFirstIndent"/>
    <w:rsid w:val="00B36B45"/>
  </w:style>
  <w:style w:type="paragraph" w:styleId="BodyTextIndent">
    <w:name w:val="Body Text Indent"/>
    <w:basedOn w:val="Normal"/>
    <w:link w:val="BodyTextIndentChar"/>
    <w:qFormat/>
    <w:rsid w:val="00B36B45"/>
    <w:pPr>
      <w:spacing w:after="120"/>
      <w:ind w:left="360"/>
    </w:pPr>
  </w:style>
  <w:style w:type="character" w:customStyle="1" w:styleId="BodyTextIndentChar">
    <w:name w:val="Body Text Indent Char"/>
    <w:basedOn w:val="DefaultParagraphFont"/>
    <w:link w:val="BodyTextIndent"/>
    <w:rsid w:val="00B36B45"/>
  </w:style>
  <w:style w:type="paragraph" w:styleId="BodyTextFirstIndent2">
    <w:name w:val="Body Text First Indent 2"/>
    <w:basedOn w:val="BodyTextIndent"/>
    <w:link w:val="BodyTextFirstIndent2Char"/>
    <w:qFormat/>
    <w:rsid w:val="00B36B45"/>
    <w:pPr>
      <w:spacing w:after="160"/>
      <w:ind w:firstLine="360"/>
    </w:pPr>
  </w:style>
  <w:style w:type="character" w:customStyle="1" w:styleId="BodyTextFirstIndent2Char">
    <w:name w:val="Body Text First Indent 2 Char"/>
    <w:basedOn w:val="BodyTextIndentChar"/>
    <w:link w:val="BodyTextFirstIndent2"/>
    <w:rsid w:val="00B36B45"/>
  </w:style>
  <w:style w:type="paragraph" w:styleId="BodyTextIndent2">
    <w:name w:val="Body Text Indent 2"/>
    <w:basedOn w:val="Normal"/>
    <w:link w:val="BodyTextIndent2Char"/>
    <w:qFormat/>
    <w:rsid w:val="00B36B45"/>
    <w:pPr>
      <w:spacing w:after="120" w:line="480" w:lineRule="auto"/>
      <w:ind w:left="360"/>
    </w:pPr>
  </w:style>
  <w:style w:type="character" w:customStyle="1" w:styleId="BodyTextIndent2Char">
    <w:name w:val="Body Text Indent 2 Char"/>
    <w:basedOn w:val="DefaultParagraphFont"/>
    <w:link w:val="BodyTextIndent2"/>
    <w:rsid w:val="00B36B45"/>
  </w:style>
  <w:style w:type="paragraph" w:styleId="BodyTextIndent3">
    <w:name w:val="Body Text Indent 3"/>
    <w:basedOn w:val="Normal"/>
    <w:link w:val="BodyTextIndent3Char"/>
    <w:qFormat/>
    <w:rsid w:val="00B36B45"/>
    <w:pPr>
      <w:spacing w:after="120"/>
      <w:ind w:left="360"/>
    </w:pPr>
    <w:rPr>
      <w:sz w:val="16"/>
      <w:szCs w:val="16"/>
    </w:rPr>
  </w:style>
  <w:style w:type="character" w:customStyle="1" w:styleId="BodyTextIndent3Char">
    <w:name w:val="Body Text Indent 3 Char"/>
    <w:basedOn w:val="DefaultParagraphFont"/>
    <w:link w:val="BodyTextIndent3"/>
    <w:rsid w:val="00B36B45"/>
    <w:rPr>
      <w:sz w:val="16"/>
      <w:szCs w:val="16"/>
    </w:rPr>
  </w:style>
  <w:style w:type="character" w:styleId="BookTitle">
    <w:name w:val="Book Title"/>
    <w:basedOn w:val="DefaultParagraphFont"/>
    <w:qFormat/>
    <w:rsid w:val="00455CD5"/>
    <w:rPr>
      <w:b/>
      <w:bCs/>
      <w:i/>
      <w:iCs/>
      <w:spacing w:val="5"/>
    </w:rPr>
  </w:style>
  <w:style w:type="paragraph" w:customStyle="1" w:styleId="Blank">
    <w:name w:val="Blank"/>
    <w:basedOn w:val="Normal"/>
    <w:qFormat/>
    <w:rsid w:val="00B36B45"/>
    <w:pPr>
      <w:spacing w:before="5120" w:after="0"/>
      <w:jc w:val="center"/>
    </w:pPr>
    <w:rPr>
      <w:b/>
      <w:bCs/>
    </w:rPr>
  </w:style>
  <w:style w:type="paragraph" w:customStyle="1" w:styleId="Byline">
    <w:name w:val="Byline"/>
    <w:basedOn w:val="Normal"/>
    <w:qFormat/>
    <w:rsid w:val="00945A3B"/>
    <w:pPr>
      <w:spacing w:before="120" w:after="120"/>
      <w:ind w:right="288"/>
    </w:pPr>
    <w:rPr>
      <w:rFonts w:asciiTheme="majorHAnsi" w:hAnsiTheme="majorHAnsi"/>
      <w:bCs/>
      <w:color w:val="444D54" w:themeColor="accent3" w:themeShade="BF"/>
    </w:rPr>
  </w:style>
  <w:style w:type="paragraph" w:customStyle="1" w:styleId="Callout">
    <w:name w:val="Callout"/>
    <w:basedOn w:val="Normal"/>
    <w:qFormat/>
    <w:rsid w:val="00F50AF2"/>
    <w:pPr>
      <w:ind w:left="720" w:right="720"/>
    </w:pPr>
    <w:rPr>
      <w:bCs/>
      <w:color w:val="000000" w:themeColor="text1"/>
      <w:sz w:val="22"/>
    </w:rPr>
  </w:style>
  <w:style w:type="paragraph" w:styleId="Date">
    <w:name w:val="Date"/>
    <w:basedOn w:val="Normal"/>
    <w:next w:val="Normal"/>
    <w:link w:val="DateChar"/>
    <w:qFormat/>
    <w:rsid w:val="00322D93"/>
    <w:pPr>
      <w:spacing w:after="120"/>
    </w:pPr>
    <w:rPr>
      <w:rFonts w:asciiTheme="majorHAnsi" w:hAnsiTheme="majorHAnsi"/>
      <w:b/>
      <w:color w:val="444D54" w:themeColor="accent3" w:themeShade="BF"/>
    </w:rPr>
  </w:style>
  <w:style w:type="character" w:customStyle="1" w:styleId="DateChar">
    <w:name w:val="Date Char"/>
    <w:basedOn w:val="DefaultParagraphFont"/>
    <w:link w:val="Date"/>
    <w:rsid w:val="00322D93"/>
    <w:rPr>
      <w:rFonts w:asciiTheme="majorHAnsi" w:hAnsiTheme="majorHAnsi"/>
      <w:b/>
      <w:color w:val="444D54" w:themeColor="accent3" w:themeShade="BF"/>
      <w:sz w:val="20"/>
    </w:rPr>
  </w:style>
  <w:style w:type="paragraph" w:customStyle="1" w:styleId="CoverTitle">
    <w:name w:val="Cover Title"/>
    <w:qFormat/>
    <w:rsid w:val="007560BD"/>
    <w:pPr>
      <w:spacing w:before="6720" w:after="240" w:line="600" w:lineRule="atLeast"/>
      <w:outlineLvl w:val="0"/>
    </w:pPr>
    <w:rPr>
      <w:rFonts w:asciiTheme="majorHAnsi" w:hAnsiTheme="majorHAnsi"/>
      <w:b/>
      <w:bCs/>
      <w:color w:val="FFFFFF" w:themeColor="background1"/>
      <w:spacing w:val="5"/>
      <w:sz w:val="52"/>
    </w:rPr>
  </w:style>
  <w:style w:type="paragraph" w:customStyle="1" w:styleId="CoverDate">
    <w:name w:val="Cover Date"/>
    <w:qFormat/>
    <w:rsid w:val="000B13D2"/>
    <w:pPr>
      <w:spacing w:before="360" w:after="0" w:line="264" w:lineRule="auto"/>
    </w:pPr>
    <w:rPr>
      <w:rFonts w:asciiTheme="majorHAnsi" w:hAnsiTheme="majorHAnsi"/>
      <w:b/>
      <w:bCs/>
      <w:color w:val="0B2949" w:themeColor="accent1"/>
      <w:sz w:val="24"/>
    </w:rPr>
  </w:style>
  <w:style w:type="paragraph" w:styleId="ListNumber3">
    <w:name w:val="List Number 3"/>
    <w:basedOn w:val="Normal"/>
    <w:qFormat/>
    <w:rsid w:val="00B36B45"/>
    <w:pPr>
      <w:numPr>
        <w:numId w:val="13"/>
      </w:numPr>
      <w:adjustRightInd w:val="0"/>
      <w:spacing w:after="80"/>
    </w:pPr>
  </w:style>
  <w:style w:type="paragraph" w:styleId="ListNumber4">
    <w:name w:val="List Number 4"/>
    <w:basedOn w:val="Normal"/>
    <w:qFormat/>
    <w:rsid w:val="000200AA"/>
    <w:pPr>
      <w:numPr>
        <w:numId w:val="14"/>
      </w:numPr>
      <w:spacing w:after="80"/>
    </w:pPr>
  </w:style>
  <w:style w:type="paragraph" w:customStyle="1" w:styleId="CoverSubtitle">
    <w:name w:val="Cover Subtitle"/>
    <w:qFormat/>
    <w:rsid w:val="003B746E"/>
    <w:pPr>
      <w:spacing w:after="0" w:line="400" w:lineRule="atLeast"/>
    </w:pPr>
    <w:rPr>
      <w:rFonts w:asciiTheme="majorHAnsi" w:hAnsiTheme="majorHAnsi"/>
      <w:color w:val="FFFFFF" w:themeColor="background1"/>
      <w:spacing w:val="5"/>
      <w:sz w:val="36"/>
    </w:rPr>
  </w:style>
  <w:style w:type="paragraph" w:customStyle="1" w:styleId="CoverText">
    <w:name w:val="Cover Text"/>
    <w:qFormat/>
    <w:rsid w:val="002E281A"/>
    <w:pPr>
      <w:spacing w:after="240" w:line="280" w:lineRule="atLeast"/>
      <w:contextualSpacing/>
    </w:pPr>
    <w:rPr>
      <w:color w:val="0B2949" w:themeColor="accent1"/>
      <w:sz w:val="20"/>
    </w:rPr>
  </w:style>
  <w:style w:type="paragraph" w:customStyle="1" w:styleId="CoverHead">
    <w:name w:val="Cover Head"/>
    <w:basedOn w:val="CoverDate"/>
    <w:qFormat/>
    <w:rsid w:val="002E281A"/>
    <w:pPr>
      <w:spacing w:before="0" w:after="90" w:line="280" w:lineRule="atLeast"/>
    </w:pPr>
    <w:rPr>
      <w:rFonts w:asciiTheme="minorHAnsi" w:hAnsiTheme="minorHAnsi"/>
      <w:sz w:val="20"/>
    </w:rPr>
  </w:style>
  <w:style w:type="paragraph" w:customStyle="1" w:styleId="CoverAuthor">
    <w:name w:val="Cover Author"/>
    <w:basedOn w:val="CoverDate"/>
    <w:qFormat/>
    <w:rsid w:val="00322D93"/>
    <w:pPr>
      <w:spacing w:before="120"/>
    </w:pPr>
    <w:rPr>
      <w:b w:val="0"/>
    </w:rPr>
  </w:style>
  <w:style w:type="paragraph" w:styleId="DocumentMap">
    <w:name w:val="Document Map"/>
    <w:basedOn w:val="Normal"/>
    <w:link w:val="DocumentMapChar"/>
    <w:qFormat/>
    <w:rsid w:val="00B36B4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rsid w:val="00B36B45"/>
    <w:rPr>
      <w:rFonts w:ascii="Segoe UI" w:hAnsi="Segoe UI" w:cs="Segoe UI"/>
      <w:sz w:val="16"/>
      <w:szCs w:val="16"/>
    </w:rPr>
  </w:style>
  <w:style w:type="character" w:styleId="EndnoteReference">
    <w:name w:val="endnote reference"/>
    <w:basedOn w:val="DefaultParagraphFont"/>
    <w:qFormat/>
    <w:rsid w:val="002D4533"/>
    <w:rPr>
      <w:vertAlign w:val="superscript"/>
    </w:rPr>
  </w:style>
  <w:style w:type="paragraph" w:customStyle="1" w:styleId="Addressee">
    <w:name w:val="Addressee"/>
    <w:basedOn w:val="Normal"/>
    <w:qFormat/>
    <w:rsid w:val="00B36B45"/>
    <w:pPr>
      <w:tabs>
        <w:tab w:val="left" w:pos="576"/>
      </w:tabs>
      <w:spacing w:before="240"/>
      <w:ind w:left="576" w:hanging="576"/>
    </w:pPr>
  </w:style>
  <w:style w:type="character" w:styleId="CommentReference">
    <w:name w:val="annotation reference"/>
    <w:basedOn w:val="DefaultParagraphFont"/>
    <w:qFormat/>
    <w:rsid w:val="00016C44"/>
    <w:rPr>
      <w:sz w:val="16"/>
      <w:szCs w:val="16"/>
    </w:rPr>
  </w:style>
  <w:style w:type="paragraph" w:styleId="CommentText">
    <w:name w:val="annotation text"/>
    <w:basedOn w:val="Normal"/>
    <w:link w:val="CommentTextChar"/>
    <w:qFormat/>
    <w:rsid w:val="00B36B45"/>
    <w:pPr>
      <w:spacing w:line="240" w:lineRule="auto"/>
    </w:pPr>
    <w:rPr>
      <w:szCs w:val="20"/>
    </w:rPr>
  </w:style>
  <w:style w:type="character" w:customStyle="1" w:styleId="CommentTextChar">
    <w:name w:val="Comment Text Char"/>
    <w:basedOn w:val="DefaultParagraphFont"/>
    <w:link w:val="CommentText"/>
    <w:rsid w:val="00B36B45"/>
    <w:rPr>
      <w:szCs w:val="20"/>
    </w:rPr>
  </w:style>
  <w:style w:type="paragraph" w:styleId="CommentSubject">
    <w:name w:val="annotation subject"/>
    <w:basedOn w:val="CommentText"/>
    <w:next w:val="CommentText"/>
    <w:link w:val="CommentSubjectChar"/>
    <w:qFormat/>
    <w:rsid w:val="00B36B45"/>
    <w:rPr>
      <w:b/>
      <w:bCs/>
    </w:rPr>
  </w:style>
  <w:style w:type="character" w:customStyle="1" w:styleId="CommentSubjectChar">
    <w:name w:val="Comment Subject Char"/>
    <w:basedOn w:val="CommentTextChar"/>
    <w:link w:val="CommentSubject"/>
    <w:rsid w:val="00B36B45"/>
    <w:rPr>
      <w:b/>
      <w:bCs/>
      <w:szCs w:val="20"/>
    </w:rPr>
  </w:style>
  <w:style w:type="paragraph" w:styleId="Revision">
    <w:name w:val="Revision"/>
    <w:hidden/>
    <w:uiPriority w:val="99"/>
    <w:semiHidden/>
    <w:rsid w:val="00016C44"/>
    <w:pPr>
      <w:spacing w:after="0" w:line="240" w:lineRule="auto"/>
    </w:pPr>
    <w:rPr>
      <w:sz w:val="20"/>
    </w:rPr>
  </w:style>
  <w:style w:type="paragraph" w:customStyle="1" w:styleId="PubinfoAuthor">
    <w:name w:val="Pubinfo Author"/>
    <w:basedOn w:val="Pubinfo"/>
    <w:qFormat/>
    <w:rsid w:val="00B36B45"/>
    <w:pPr>
      <w:spacing w:after="0"/>
    </w:pPr>
  </w:style>
  <w:style w:type="paragraph" w:customStyle="1" w:styleId="ExhibitFootnote">
    <w:name w:val="Exhibit Footnote"/>
    <w:basedOn w:val="TableTextLeft"/>
    <w:qFormat/>
    <w:rsid w:val="00741751"/>
    <w:pPr>
      <w:spacing w:after="40" w:line="200" w:lineRule="atLeast"/>
    </w:pPr>
    <w:rPr>
      <w:sz w:val="16"/>
    </w:rPr>
  </w:style>
  <w:style w:type="paragraph" w:styleId="Closing">
    <w:name w:val="Closing"/>
    <w:basedOn w:val="Normal"/>
    <w:link w:val="ClosingChar"/>
    <w:qFormat/>
    <w:rsid w:val="00B36B45"/>
    <w:pPr>
      <w:spacing w:after="240" w:line="240" w:lineRule="auto"/>
      <w:ind w:left="4320"/>
      <w:contextualSpacing/>
    </w:pPr>
  </w:style>
  <w:style w:type="character" w:customStyle="1" w:styleId="ClosingChar">
    <w:name w:val="Closing Char"/>
    <w:basedOn w:val="DefaultParagraphFont"/>
    <w:link w:val="Closing"/>
    <w:rsid w:val="00B36B45"/>
  </w:style>
  <w:style w:type="paragraph" w:customStyle="1" w:styleId="ESH1">
    <w:name w:val="ES H1"/>
    <w:basedOn w:val="H1"/>
    <w:next w:val="ESParagraph"/>
    <w:qFormat/>
    <w:rsid w:val="00966E1D"/>
    <w:pPr>
      <w:outlineLvl w:val="9"/>
    </w:pPr>
  </w:style>
  <w:style w:type="paragraph" w:customStyle="1" w:styleId="ESH2">
    <w:name w:val="ES H2"/>
    <w:basedOn w:val="ESH1"/>
    <w:next w:val="ESParagraph"/>
    <w:qFormat/>
    <w:rsid w:val="00966E1D"/>
    <w:rPr>
      <w:b/>
      <w:color w:val="0B2949" w:themeColor="accent1"/>
      <w:sz w:val="24"/>
    </w:rPr>
  </w:style>
  <w:style w:type="paragraph" w:customStyle="1" w:styleId="ESListBullet">
    <w:name w:val="ES List Bullet"/>
    <w:basedOn w:val="ESParagraph"/>
    <w:qFormat/>
    <w:rsid w:val="00B36B45"/>
    <w:pPr>
      <w:numPr>
        <w:numId w:val="16"/>
      </w:numPr>
    </w:pPr>
  </w:style>
  <w:style w:type="paragraph" w:customStyle="1" w:styleId="ESListNumber">
    <w:name w:val="ES List Number"/>
    <w:basedOn w:val="ESParagraph"/>
    <w:qFormat/>
    <w:rsid w:val="00B36B45"/>
    <w:pPr>
      <w:numPr>
        <w:numId w:val="17"/>
      </w:numPr>
    </w:pPr>
  </w:style>
  <w:style w:type="paragraph" w:customStyle="1" w:styleId="ESParagraph">
    <w:name w:val="ES Paragraph"/>
    <w:basedOn w:val="Normal"/>
    <w:qFormat/>
    <w:rsid w:val="00B36B45"/>
    <w:rPr>
      <w:rFonts w:asciiTheme="majorHAnsi" w:hAnsiTheme="majorHAnsi"/>
      <w:color w:val="000000" w:themeColor="text1"/>
    </w:rPr>
  </w:style>
  <w:style w:type="paragraph" w:customStyle="1" w:styleId="ESParagraphContinued">
    <w:name w:val="ES Paragraph Continued"/>
    <w:basedOn w:val="ESParagraph"/>
    <w:next w:val="ESParagraph"/>
    <w:qFormat/>
    <w:rsid w:val="00B36B45"/>
    <w:pPr>
      <w:spacing w:before="160"/>
    </w:pPr>
  </w:style>
  <w:style w:type="paragraph" w:customStyle="1" w:styleId="ExhibitSource">
    <w:name w:val="Exhibit Source"/>
    <w:basedOn w:val="TableTextLeft"/>
    <w:qFormat/>
    <w:rsid w:val="00946BB4"/>
    <w:pPr>
      <w:tabs>
        <w:tab w:val="left" w:pos="648"/>
      </w:tabs>
      <w:spacing w:after="40" w:line="200" w:lineRule="atLeast"/>
      <w:ind w:left="648" w:hanging="648"/>
    </w:pPr>
    <w:rPr>
      <w:sz w:val="16"/>
    </w:rPr>
  </w:style>
  <w:style w:type="paragraph" w:customStyle="1" w:styleId="ExhibitSignificance">
    <w:name w:val="Exhibit Significance"/>
    <w:basedOn w:val="TableTextLeft"/>
    <w:qFormat/>
    <w:rsid w:val="00741751"/>
    <w:pPr>
      <w:tabs>
        <w:tab w:val="right" w:pos="180"/>
        <w:tab w:val="left" w:pos="270"/>
      </w:tabs>
      <w:spacing w:after="40" w:line="200" w:lineRule="atLeast"/>
      <w:ind w:left="274" w:hanging="274"/>
    </w:pPr>
    <w:rPr>
      <w:sz w:val="16"/>
    </w:rPr>
  </w:style>
  <w:style w:type="paragraph" w:customStyle="1" w:styleId="ExhibitTitle">
    <w:name w:val="Exhibit Title"/>
    <w:basedOn w:val="TableTextLeft"/>
    <w:qFormat/>
    <w:rsid w:val="001113FE"/>
    <w:pPr>
      <w:keepNext/>
      <w:keepLines/>
      <w:spacing w:before="0" w:after="80"/>
    </w:pPr>
    <w:rPr>
      <w:color w:val="0B2949" w:themeColor="accent1"/>
      <w:sz w:val="22"/>
    </w:rPr>
  </w:style>
  <w:style w:type="paragraph" w:customStyle="1" w:styleId="FAQQuestion">
    <w:name w:val="FAQ Question"/>
    <w:basedOn w:val="H1"/>
    <w:next w:val="ParagraphContinued"/>
    <w:qFormat/>
    <w:rsid w:val="00B36B45"/>
    <w:rPr>
      <w:color w:val="0B2949" w:themeColor="accent1"/>
    </w:rPr>
  </w:style>
  <w:style w:type="paragraph" w:customStyle="1" w:styleId="Feature1">
    <w:name w:val="Feature1"/>
    <w:basedOn w:val="Normal"/>
    <w:qFormat/>
    <w:rsid w:val="00B36B45"/>
    <w:pPr>
      <w:spacing w:after="0"/>
    </w:pPr>
  </w:style>
  <w:style w:type="paragraph" w:customStyle="1" w:styleId="Feature1Title">
    <w:name w:val="Feature1 Title"/>
    <w:basedOn w:val="H1"/>
    <w:next w:val="Feature1"/>
    <w:qFormat/>
    <w:rsid w:val="00B36B45"/>
  </w:style>
  <w:style w:type="paragraph" w:customStyle="1" w:styleId="Feature1ListBullet">
    <w:name w:val="Feature1 List Bullet"/>
    <w:basedOn w:val="Feature1"/>
    <w:qFormat/>
    <w:rsid w:val="00B36B45"/>
  </w:style>
  <w:style w:type="paragraph" w:customStyle="1" w:styleId="Feature1ListNumber">
    <w:name w:val="Feature1 List Number"/>
    <w:basedOn w:val="Feature1"/>
    <w:qFormat/>
    <w:rsid w:val="00B36B45"/>
  </w:style>
  <w:style w:type="paragraph" w:customStyle="1" w:styleId="Feature1Head">
    <w:name w:val="Feature1 Head"/>
    <w:basedOn w:val="Feature1Title"/>
    <w:next w:val="Feature1"/>
    <w:qFormat/>
    <w:rsid w:val="00B36B45"/>
    <w:pPr>
      <w:spacing w:after="80" w:line="240" w:lineRule="auto"/>
      <w:outlineLvl w:val="9"/>
    </w:pPr>
  </w:style>
  <w:style w:type="paragraph" w:customStyle="1" w:styleId="Feature20">
    <w:name w:val="Feature2"/>
    <w:basedOn w:val="Normal"/>
    <w:qFormat/>
    <w:rsid w:val="00B36B45"/>
    <w:pPr>
      <w:spacing w:after="0"/>
    </w:pPr>
  </w:style>
  <w:style w:type="paragraph" w:customStyle="1" w:styleId="Feature2Title">
    <w:name w:val="Feature2 Title"/>
    <w:basedOn w:val="H1"/>
    <w:qFormat/>
    <w:rsid w:val="00B36B45"/>
  </w:style>
  <w:style w:type="paragraph" w:customStyle="1" w:styleId="Feature2Head">
    <w:name w:val="Feature2 Head"/>
    <w:basedOn w:val="Feature2Title"/>
    <w:next w:val="Feature20"/>
    <w:qFormat/>
    <w:rsid w:val="00B36B45"/>
  </w:style>
  <w:style w:type="paragraph" w:customStyle="1" w:styleId="Feature2ListBullet">
    <w:name w:val="Feature2 List Bullet"/>
    <w:basedOn w:val="Feature20"/>
    <w:qFormat/>
    <w:rsid w:val="00B36B45"/>
  </w:style>
  <w:style w:type="paragraph" w:customStyle="1" w:styleId="Feature2ListNumber">
    <w:name w:val="Feature2 List Number"/>
    <w:basedOn w:val="Feature20"/>
    <w:qFormat/>
    <w:rsid w:val="00B36B45"/>
  </w:style>
  <w:style w:type="paragraph" w:customStyle="1" w:styleId="Feature1ListHead">
    <w:name w:val="Feature1 List Head"/>
    <w:basedOn w:val="Feature1"/>
    <w:next w:val="Feature1ListBullet"/>
    <w:qFormat/>
    <w:rsid w:val="00B36B45"/>
    <w:rPr>
      <w:b/>
    </w:rPr>
  </w:style>
  <w:style w:type="paragraph" w:customStyle="1" w:styleId="Feature2ListHead">
    <w:name w:val="Feature2 List Head"/>
    <w:basedOn w:val="Feature20"/>
    <w:next w:val="Feature2ListBullet"/>
    <w:qFormat/>
    <w:rsid w:val="00B36B45"/>
    <w:rPr>
      <w:b/>
    </w:rPr>
  </w:style>
  <w:style w:type="paragraph" w:customStyle="1" w:styleId="FigureTitle">
    <w:name w:val="Figure Title"/>
    <w:basedOn w:val="ExhibitTitle"/>
    <w:next w:val="ExhibitSource"/>
    <w:qFormat/>
    <w:rsid w:val="00AC294F"/>
  </w:style>
  <w:style w:type="paragraph" w:customStyle="1" w:styleId="H2">
    <w:name w:val="H2"/>
    <w:basedOn w:val="H1"/>
    <w:next w:val="Paragraph"/>
    <w:qFormat/>
    <w:rsid w:val="00092AB2"/>
    <w:pPr>
      <w:spacing w:line="320" w:lineRule="atLeast"/>
      <w:outlineLvl w:val="2"/>
    </w:pPr>
    <w:rPr>
      <w:b/>
      <w:color w:val="0B2949" w:themeColor="accent1"/>
      <w:sz w:val="24"/>
    </w:rPr>
  </w:style>
  <w:style w:type="paragraph" w:customStyle="1" w:styleId="H3">
    <w:name w:val="H3"/>
    <w:basedOn w:val="H1"/>
    <w:next w:val="Paragraph"/>
    <w:qFormat/>
    <w:rsid w:val="004D6E31"/>
    <w:pPr>
      <w:spacing w:line="260" w:lineRule="atLeast"/>
      <w:outlineLvl w:val="3"/>
    </w:pPr>
    <w:rPr>
      <w:rFonts w:asciiTheme="minorHAnsi" w:hAnsiTheme="minorHAnsi"/>
      <w:b/>
      <w:color w:val="000000" w:themeColor="text1"/>
      <w:sz w:val="20"/>
    </w:rPr>
  </w:style>
  <w:style w:type="paragraph" w:customStyle="1" w:styleId="H4">
    <w:name w:val="H4"/>
    <w:basedOn w:val="H1"/>
    <w:next w:val="ParagraphContinued"/>
    <w:qFormat/>
    <w:rsid w:val="001A6F40"/>
    <w:pPr>
      <w:spacing w:line="260" w:lineRule="atLeast"/>
      <w:outlineLvl w:val="4"/>
    </w:pPr>
    <w:rPr>
      <w:rFonts w:asciiTheme="minorHAnsi" w:hAnsiTheme="minorHAnsi"/>
      <w:i/>
      <w:color w:val="000000" w:themeColor="text1"/>
      <w:sz w:val="20"/>
    </w:rPr>
  </w:style>
  <w:style w:type="character" w:customStyle="1" w:styleId="Heading9Char">
    <w:name w:val="Heading 9 Char"/>
    <w:basedOn w:val="DefaultParagraphFont"/>
    <w:link w:val="Heading9"/>
    <w:rsid w:val="00B36B45"/>
    <w:rPr>
      <w:rFonts w:asciiTheme="majorHAnsi" w:eastAsiaTheme="majorEastAsia" w:hAnsiTheme="majorHAnsi" w:cstheme="majorBidi"/>
      <w:i/>
      <w:iCs/>
      <w:color w:val="272727" w:themeColor="text1" w:themeTint="D8"/>
      <w:sz w:val="21"/>
      <w:szCs w:val="21"/>
    </w:rPr>
  </w:style>
  <w:style w:type="paragraph" w:styleId="Index1">
    <w:name w:val="index 1"/>
    <w:basedOn w:val="Normal"/>
    <w:next w:val="Normal"/>
    <w:autoRedefine/>
    <w:qFormat/>
    <w:rsid w:val="00B36B45"/>
    <w:pPr>
      <w:spacing w:after="0" w:line="240" w:lineRule="auto"/>
      <w:ind w:left="200" w:hanging="200"/>
    </w:pPr>
  </w:style>
  <w:style w:type="paragraph" w:styleId="IndexHeading">
    <w:name w:val="index heading"/>
    <w:basedOn w:val="Normal"/>
    <w:next w:val="Index1"/>
    <w:qFormat/>
    <w:rsid w:val="00B36B45"/>
    <w:rPr>
      <w:rFonts w:asciiTheme="majorHAnsi" w:eastAsiaTheme="majorEastAsia" w:hAnsiTheme="majorHAnsi" w:cstheme="majorBidi"/>
      <w:b/>
      <w:bCs/>
    </w:rPr>
  </w:style>
  <w:style w:type="paragraph" w:customStyle="1" w:styleId="Introduction">
    <w:name w:val="Introduction"/>
    <w:basedOn w:val="Normal"/>
    <w:qFormat/>
    <w:rsid w:val="00C46C84"/>
    <w:pPr>
      <w:spacing w:after="120" w:line="320" w:lineRule="atLeast"/>
    </w:pPr>
    <w:rPr>
      <w:rFonts w:asciiTheme="majorHAnsi" w:hAnsiTheme="majorHAnsi"/>
      <w:color w:val="444D54" w:themeColor="accent3" w:themeShade="BF"/>
      <w:sz w:val="22"/>
    </w:rPr>
  </w:style>
  <w:style w:type="paragraph" w:styleId="ListParagraph">
    <w:name w:val="List Paragraph"/>
    <w:basedOn w:val="Normal"/>
    <w:qFormat/>
    <w:rsid w:val="00B36B45"/>
    <w:pPr>
      <w:ind w:left="1267" w:hanging="1267"/>
      <w:contextualSpacing/>
    </w:pPr>
  </w:style>
  <w:style w:type="paragraph" w:styleId="MacroText">
    <w:name w:val="macro"/>
    <w:link w:val="MacroTextChar"/>
    <w:qFormat/>
    <w:rsid w:val="00B36B45"/>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rsid w:val="00B36B45"/>
    <w:rPr>
      <w:rFonts w:ascii="Consolas" w:hAnsi="Consolas"/>
      <w:sz w:val="20"/>
      <w:szCs w:val="20"/>
    </w:rPr>
  </w:style>
  <w:style w:type="paragraph" w:customStyle="1" w:styleId="Notes">
    <w:name w:val="Notes"/>
    <w:basedOn w:val="Normal"/>
    <w:qFormat/>
    <w:rsid w:val="00B36B45"/>
    <w:rPr>
      <w:color w:val="046B5C" w:themeColor="text2"/>
    </w:rPr>
  </w:style>
  <w:style w:type="paragraph" w:customStyle="1" w:styleId="Pubinfo">
    <w:name w:val="Pubinfo"/>
    <w:basedOn w:val="Normal"/>
    <w:qFormat/>
    <w:rsid w:val="00B36B45"/>
    <w:rPr>
      <w:b/>
    </w:rPr>
  </w:style>
  <w:style w:type="paragraph" w:customStyle="1" w:styleId="PubinfoCategory">
    <w:name w:val="Pubinfo Category"/>
    <w:basedOn w:val="Pubinfo"/>
    <w:qFormat/>
    <w:rsid w:val="00B36B45"/>
  </w:style>
  <w:style w:type="paragraph" w:customStyle="1" w:styleId="PubinfoDate">
    <w:name w:val="Pubinfo Date"/>
    <w:basedOn w:val="PubinfoCategory"/>
    <w:qFormat/>
    <w:rsid w:val="00B36B45"/>
  </w:style>
  <w:style w:type="paragraph" w:customStyle="1" w:styleId="PubinfoHead">
    <w:name w:val="Pubinfo Head"/>
    <w:basedOn w:val="Pubinfo"/>
    <w:qFormat/>
    <w:rsid w:val="00B36B45"/>
  </w:style>
  <w:style w:type="paragraph" w:customStyle="1" w:styleId="PubinfoList">
    <w:name w:val="Pubinfo List"/>
    <w:basedOn w:val="Pubinfo"/>
    <w:qFormat/>
    <w:rsid w:val="00B36B45"/>
  </w:style>
  <w:style w:type="paragraph" w:customStyle="1" w:styleId="PubinfoNumber">
    <w:name w:val="Pubinfo Number"/>
    <w:basedOn w:val="Pubinfo"/>
    <w:qFormat/>
    <w:rsid w:val="00B36B45"/>
  </w:style>
  <w:style w:type="paragraph" w:styleId="Quote">
    <w:name w:val="Quote"/>
    <w:basedOn w:val="Normal"/>
    <w:link w:val="QuoteChar"/>
    <w:qFormat/>
    <w:rsid w:val="00632DAA"/>
    <w:pPr>
      <w:spacing w:before="40" w:after="60"/>
    </w:pPr>
    <w:rPr>
      <w:rFonts w:asciiTheme="majorHAnsi" w:hAnsiTheme="majorHAnsi"/>
      <w:i/>
      <w:iCs/>
      <w:color w:val="444D54" w:themeColor="accent3" w:themeShade="BF"/>
      <w:sz w:val="24"/>
      <w:szCs w:val="21"/>
    </w:rPr>
  </w:style>
  <w:style w:type="character" w:customStyle="1" w:styleId="QuoteChar">
    <w:name w:val="Quote Char"/>
    <w:basedOn w:val="DefaultParagraphFont"/>
    <w:link w:val="Quote"/>
    <w:rsid w:val="00632DAA"/>
    <w:rPr>
      <w:rFonts w:asciiTheme="majorHAnsi" w:hAnsiTheme="majorHAnsi"/>
      <w:i/>
      <w:iCs/>
      <w:color w:val="444D54" w:themeColor="accent3" w:themeShade="BF"/>
      <w:sz w:val="24"/>
      <w:szCs w:val="21"/>
    </w:rPr>
  </w:style>
  <w:style w:type="paragraph" w:customStyle="1" w:styleId="QuoteAttribution">
    <w:name w:val="Quote Attribution"/>
    <w:basedOn w:val="Quote"/>
    <w:qFormat/>
    <w:rsid w:val="00202BC4"/>
    <w:pPr>
      <w:spacing w:before="0" w:after="160"/>
      <w:jc w:val="right"/>
    </w:pPr>
    <w:rPr>
      <w:i w:val="0"/>
      <w:sz w:val="20"/>
    </w:rPr>
  </w:style>
  <w:style w:type="paragraph" w:styleId="Subtitle">
    <w:name w:val="Subtitle"/>
    <w:basedOn w:val="Normal"/>
    <w:next w:val="Normal"/>
    <w:link w:val="SubtitleChar"/>
    <w:qFormat/>
    <w:rsid w:val="00366FDE"/>
    <w:pPr>
      <w:numPr>
        <w:ilvl w:val="1"/>
      </w:numPr>
      <w:spacing w:before="120" w:after="240"/>
    </w:pPr>
    <w:rPr>
      <w:rFonts w:asciiTheme="majorHAnsi" w:eastAsiaTheme="minorEastAsia" w:hAnsiTheme="majorHAnsi"/>
      <w:color w:val="444D54" w:themeColor="accent3" w:themeShade="BF"/>
      <w:sz w:val="30"/>
    </w:rPr>
  </w:style>
  <w:style w:type="character" w:customStyle="1" w:styleId="SubtitleChar">
    <w:name w:val="Subtitle Char"/>
    <w:basedOn w:val="DefaultParagraphFont"/>
    <w:link w:val="Subtitle"/>
    <w:rsid w:val="00366FDE"/>
    <w:rPr>
      <w:rFonts w:asciiTheme="majorHAnsi" w:eastAsiaTheme="minorEastAsia" w:hAnsiTheme="majorHAnsi"/>
      <w:color w:val="444D54" w:themeColor="accent3" w:themeShade="BF"/>
      <w:sz w:val="30"/>
    </w:rPr>
  </w:style>
  <w:style w:type="paragraph" w:customStyle="1" w:styleId="SidebarTitle">
    <w:name w:val="Sidebar Title"/>
    <w:basedOn w:val="H1"/>
    <w:next w:val="Sidebar"/>
    <w:qFormat/>
    <w:rsid w:val="000B5483"/>
    <w:pPr>
      <w:spacing w:before="0" w:after="80" w:line="260" w:lineRule="atLeast"/>
      <w:outlineLvl w:val="9"/>
    </w:pPr>
    <w:rPr>
      <w:b/>
      <w:color w:val="0B2949" w:themeColor="accent1"/>
      <w:sz w:val="22"/>
    </w:rPr>
  </w:style>
  <w:style w:type="paragraph" w:customStyle="1" w:styleId="SidebarHead">
    <w:name w:val="Sidebar Head"/>
    <w:basedOn w:val="SidebarTitle"/>
    <w:next w:val="Sidebar"/>
    <w:qFormat/>
    <w:rsid w:val="00720131"/>
  </w:style>
  <w:style w:type="paragraph" w:customStyle="1" w:styleId="TableTextRight">
    <w:name w:val="Table Text Right"/>
    <w:basedOn w:val="TableTextLeft"/>
    <w:qFormat/>
    <w:rsid w:val="00B36B45"/>
    <w:pPr>
      <w:jc w:val="right"/>
    </w:pPr>
  </w:style>
  <w:style w:type="paragraph" w:customStyle="1" w:styleId="TableTextDecimal">
    <w:name w:val="Table Text Decimal"/>
    <w:basedOn w:val="TableTextLeft"/>
    <w:qFormat/>
    <w:rsid w:val="00B36B45"/>
    <w:pPr>
      <w:tabs>
        <w:tab w:val="decimal" w:pos="576"/>
      </w:tabs>
    </w:pPr>
  </w:style>
  <w:style w:type="paragraph" w:customStyle="1" w:styleId="TableRowHead">
    <w:name w:val="Table Row Head"/>
    <w:basedOn w:val="TableTextLeft"/>
    <w:qFormat/>
    <w:rsid w:val="00AC7F06"/>
    <w:pPr>
      <w:keepNext/>
      <w:spacing w:after="40"/>
    </w:pPr>
    <w:rPr>
      <w:b/>
      <w:color w:val="auto"/>
    </w:rPr>
  </w:style>
  <w:style w:type="paragraph" w:customStyle="1" w:styleId="TableListNumber">
    <w:name w:val="Table List Number"/>
    <w:basedOn w:val="TableTextLeft"/>
    <w:qFormat/>
    <w:rsid w:val="00B36B45"/>
    <w:pPr>
      <w:numPr>
        <w:numId w:val="18"/>
      </w:numPr>
    </w:pPr>
  </w:style>
  <w:style w:type="paragraph" w:customStyle="1" w:styleId="TableListBullet">
    <w:name w:val="Table List Bullet"/>
    <w:basedOn w:val="TableTextLeft"/>
    <w:qFormat/>
    <w:rsid w:val="00B36B45"/>
    <w:pPr>
      <w:numPr>
        <w:numId w:val="19"/>
      </w:numPr>
    </w:pPr>
  </w:style>
  <w:style w:type="paragraph" w:customStyle="1" w:styleId="TableHeaderCenter">
    <w:name w:val="Table Header Center"/>
    <w:basedOn w:val="TableTextLeft"/>
    <w:qFormat/>
    <w:rsid w:val="00AC7F06"/>
    <w:pPr>
      <w:keepNext/>
      <w:jc w:val="center"/>
    </w:pPr>
    <w:rPr>
      <w:color w:val="FFFFFF" w:themeColor="background1"/>
    </w:rPr>
  </w:style>
  <w:style w:type="paragraph" w:customStyle="1" w:styleId="TableHeaderLeft">
    <w:name w:val="Table Header Left"/>
    <w:basedOn w:val="TableTextLeft"/>
    <w:qFormat/>
    <w:rsid w:val="00AC7F06"/>
    <w:pPr>
      <w:keepNext/>
    </w:pPr>
    <w:rPr>
      <w:color w:val="FFFFFF" w:themeColor="background1"/>
    </w:rPr>
  </w:style>
  <w:style w:type="paragraph" w:customStyle="1" w:styleId="TableTitle">
    <w:name w:val="Table Title"/>
    <w:basedOn w:val="ExhibitTitle"/>
    <w:qFormat/>
    <w:rsid w:val="00061493"/>
    <w:pPr>
      <w:spacing w:before="180"/>
    </w:pPr>
  </w:style>
  <w:style w:type="paragraph" w:customStyle="1" w:styleId="TableTextCentered">
    <w:name w:val="Table Text Centered"/>
    <w:basedOn w:val="TableTextLeft"/>
    <w:qFormat/>
    <w:rsid w:val="00B36B45"/>
    <w:pPr>
      <w:jc w:val="center"/>
    </w:pPr>
  </w:style>
  <w:style w:type="paragraph" w:styleId="TOC1">
    <w:name w:val="toc 1"/>
    <w:basedOn w:val="Normal"/>
    <w:next w:val="Normal"/>
    <w:qFormat/>
    <w:rsid w:val="00AF1CD5"/>
    <w:pPr>
      <w:tabs>
        <w:tab w:val="right" w:leader="dot" w:pos="9360"/>
      </w:tabs>
      <w:spacing w:before="140" w:after="160"/>
      <w:ind w:left="432" w:right="720" w:hanging="432"/>
    </w:pPr>
    <w:rPr>
      <w:rFonts w:asciiTheme="majorHAnsi" w:hAnsiTheme="majorHAnsi"/>
      <w:sz w:val="19"/>
    </w:rPr>
  </w:style>
  <w:style w:type="paragraph" w:styleId="TOC2">
    <w:name w:val="toc 2"/>
    <w:basedOn w:val="Normal"/>
    <w:next w:val="Normal"/>
    <w:qFormat/>
    <w:rsid w:val="00AF1CD5"/>
    <w:pPr>
      <w:tabs>
        <w:tab w:val="right" w:leader="dot" w:pos="9360"/>
      </w:tabs>
      <w:spacing w:before="140" w:after="160"/>
      <w:ind w:left="864" w:right="720" w:hanging="432"/>
    </w:pPr>
    <w:rPr>
      <w:rFonts w:asciiTheme="majorHAnsi" w:hAnsiTheme="majorHAnsi"/>
      <w:sz w:val="19"/>
    </w:rPr>
  </w:style>
  <w:style w:type="paragraph" w:styleId="TOC3">
    <w:name w:val="toc 3"/>
    <w:basedOn w:val="Normal"/>
    <w:next w:val="Normal"/>
    <w:qFormat/>
    <w:rsid w:val="00AF1CD5"/>
    <w:pPr>
      <w:tabs>
        <w:tab w:val="right" w:leader="dot" w:pos="9360"/>
      </w:tabs>
      <w:spacing w:after="100"/>
      <w:ind w:left="1296" w:hanging="432"/>
    </w:pPr>
    <w:rPr>
      <w:rFonts w:asciiTheme="majorHAnsi" w:hAnsiTheme="majorHAnsi"/>
      <w:sz w:val="19"/>
    </w:rPr>
  </w:style>
  <w:style w:type="paragraph" w:styleId="TOCHeading">
    <w:name w:val="TOC Heading"/>
    <w:next w:val="TOC1"/>
    <w:qFormat/>
    <w:rsid w:val="00D12A89"/>
    <w:pPr>
      <w:spacing w:after="0" w:line="360" w:lineRule="atLeast"/>
    </w:pPr>
    <w:rPr>
      <w:rFonts w:asciiTheme="majorHAnsi" w:hAnsiTheme="majorHAnsi"/>
      <w:color w:val="0B2949" w:themeColor="accent1"/>
      <w:sz w:val="30"/>
    </w:rPr>
  </w:style>
  <w:style w:type="paragraph" w:styleId="List2">
    <w:name w:val="List 2"/>
    <w:basedOn w:val="Normal"/>
    <w:qFormat/>
    <w:rsid w:val="00B36B45"/>
    <w:pPr>
      <w:numPr>
        <w:ilvl w:val="1"/>
        <w:numId w:val="7"/>
      </w:numPr>
      <w:contextualSpacing/>
    </w:pPr>
  </w:style>
  <w:style w:type="paragraph" w:styleId="List3">
    <w:name w:val="List 3"/>
    <w:basedOn w:val="Normal"/>
    <w:qFormat/>
    <w:rsid w:val="00B36B45"/>
    <w:pPr>
      <w:numPr>
        <w:ilvl w:val="2"/>
        <w:numId w:val="7"/>
      </w:numPr>
      <w:contextualSpacing/>
    </w:pPr>
  </w:style>
  <w:style w:type="paragraph" w:customStyle="1" w:styleId="ListAlpha">
    <w:name w:val="List Alpha"/>
    <w:basedOn w:val="List"/>
    <w:qFormat/>
    <w:rsid w:val="00E14737"/>
    <w:pPr>
      <w:numPr>
        <w:numId w:val="20"/>
      </w:numPr>
    </w:pPr>
  </w:style>
  <w:style w:type="paragraph" w:customStyle="1" w:styleId="ListAlpha2">
    <w:name w:val="List Alpha 2"/>
    <w:basedOn w:val="List2"/>
    <w:qFormat/>
    <w:rsid w:val="00EB60A3"/>
    <w:pPr>
      <w:numPr>
        <w:ilvl w:val="0"/>
        <w:numId w:val="21"/>
      </w:numPr>
      <w:spacing w:after="80"/>
      <w:contextualSpacing w:val="0"/>
    </w:pPr>
  </w:style>
  <w:style w:type="paragraph" w:customStyle="1" w:styleId="ListAlpha3">
    <w:name w:val="List Alpha 3"/>
    <w:basedOn w:val="List3"/>
    <w:qFormat/>
    <w:rsid w:val="00EB60A3"/>
    <w:pPr>
      <w:numPr>
        <w:ilvl w:val="0"/>
        <w:numId w:val="22"/>
      </w:numPr>
      <w:spacing w:after="80"/>
      <w:contextualSpacing w:val="0"/>
    </w:pPr>
  </w:style>
  <w:style w:type="paragraph" w:styleId="List4">
    <w:name w:val="List 4"/>
    <w:basedOn w:val="Normal"/>
    <w:qFormat/>
    <w:rsid w:val="00B36B45"/>
    <w:pPr>
      <w:numPr>
        <w:ilvl w:val="3"/>
        <w:numId w:val="7"/>
      </w:numPr>
      <w:contextualSpacing/>
    </w:pPr>
  </w:style>
  <w:style w:type="paragraph" w:customStyle="1" w:styleId="Outline1">
    <w:name w:val="Outline 1"/>
    <w:basedOn w:val="List"/>
    <w:qFormat/>
    <w:rsid w:val="00B36B45"/>
    <w:pPr>
      <w:numPr>
        <w:numId w:val="0"/>
      </w:numPr>
      <w:spacing w:after="0"/>
    </w:pPr>
  </w:style>
  <w:style w:type="paragraph" w:customStyle="1" w:styleId="Outline2">
    <w:name w:val="Outline 2"/>
    <w:basedOn w:val="List2"/>
    <w:qFormat/>
    <w:rsid w:val="00B36B45"/>
    <w:pPr>
      <w:numPr>
        <w:numId w:val="23"/>
      </w:numPr>
      <w:spacing w:after="0"/>
    </w:pPr>
  </w:style>
  <w:style w:type="paragraph" w:customStyle="1" w:styleId="Outline3">
    <w:name w:val="Outline 3"/>
    <w:basedOn w:val="List3"/>
    <w:qFormat/>
    <w:rsid w:val="00B36B45"/>
    <w:pPr>
      <w:numPr>
        <w:numId w:val="23"/>
      </w:numPr>
      <w:spacing w:after="0"/>
    </w:pPr>
  </w:style>
  <w:style w:type="paragraph" w:customStyle="1" w:styleId="Outline4">
    <w:name w:val="Outline 4"/>
    <w:basedOn w:val="List4"/>
    <w:qFormat/>
    <w:rsid w:val="00B36B45"/>
    <w:pPr>
      <w:numPr>
        <w:ilvl w:val="0"/>
        <w:numId w:val="0"/>
      </w:numPr>
      <w:spacing w:after="0"/>
      <w:ind w:left="1440" w:hanging="360"/>
    </w:pPr>
  </w:style>
  <w:style w:type="character" w:customStyle="1" w:styleId="BoldItalic">
    <w:name w:val="Bold Italic"/>
    <w:basedOn w:val="DefaultParagraphFont"/>
    <w:qFormat/>
    <w:rsid w:val="00285E1D"/>
    <w:rPr>
      <w:b/>
      <w:i/>
    </w:rPr>
  </w:style>
  <w:style w:type="character" w:customStyle="1" w:styleId="BoldUnderline">
    <w:name w:val="Bold Underline"/>
    <w:basedOn w:val="DefaultParagraphFont"/>
    <w:qFormat/>
    <w:rsid w:val="00285E1D"/>
    <w:rPr>
      <w:b/>
      <w:u w:val="single"/>
    </w:rPr>
  </w:style>
  <w:style w:type="character" w:customStyle="1" w:styleId="Default">
    <w:name w:val="Default"/>
    <w:basedOn w:val="DefaultParagraphFont"/>
    <w:qFormat/>
    <w:rsid w:val="00285E1D"/>
  </w:style>
  <w:style w:type="character" w:customStyle="1" w:styleId="HighlightBlue">
    <w:name w:val="Highlight Blue"/>
    <w:basedOn w:val="DefaultParagraphFont"/>
    <w:qFormat/>
    <w:rsid w:val="006F45C2"/>
    <w:rPr>
      <w:bdr w:val="none" w:sz="0" w:space="0" w:color="auto"/>
      <w:shd w:val="clear" w:color="auto" w:fill="D9E8F9" w:themeFill="accent1" w:themeFillTint="1A"/>
    </w:rPr>
  </w:style>
  <w:style w:type="character" w:customStyle="1" w:styleId="HighlightYellow">
    <w:name w:val="Highlight Yellow"/>
    <w:basedOn w:val="DefaultParagraphFont"/>
    <w:qFormat/>
    <w:rsid w:val="006F45C2"/>
    <w:rPr>
      <w:bdr w:val="none" w:sz="0" w:space="0" w:color="auto"/>
      <w:shd w:val="clear" w:color="auto" w:fill="FCF0D1" w:themeFill="accent4" w:themeFillTint="33"/>
    </w:rPr>
  </w:style>
  <w:style w:type="character" w:customStyle="1" w:styleId="RunIn">
    <w:name w:val="Run In"/>
    <w:basedOn w:val="DefaultParagraphFont"/>
    <w:qFormat/>
    <w:rsid w:val="00281499"/>
    <w:rPr>
      <w:b/>
      <w:color w:val="000000" w:themeColor="text1"/>
    </w:rPr>
  </w:style>
  <w:style w:type="character" w:customStyle="1" w:styleId="TableTextTight">
    <w:name w:val="Table Text Tight"/>
    <w:basedOn w:val="DefaultParagraphFont"/>
    <w:qFormat/>
    <w:rsid w:val="006F45C2"/>
    <w:rPr>
      <w:sz w:val="16"/>
    </w:rPr>
  </w:style>
  <w:style w:type="character" w:customStyle="1" w:styleId="TitleSubtitle">
    <w:name w:val="Title_Subtitle"/>
    <w:basedOn w:val="DefaultParagraphFont"/>
    <w:qFormat/>
    <w:rsid w:val="006848DF"/>
    <w:rPr>
      <w:b/>
    </w:rPr>
  </w:style>
  <w:style w:type="table" w:customStyle="1" w:styleId="AlternateTable">
    <w:name w:val="Alternate Table"/>
    <w:basedOn w:val="TableNormal"/>
    <w:rsid w:val="0045427A"/>
    <w:pPr>
      <w:spacing w:before="40" w:after="20" w:line="240" w:lineRule="auto"/>
    </w:pPr>
    <w:rPr>
      <w:rFonts w:asciiTheme="majorHAnsi" w:hAnsiTheme="majorHAnsi"/>
      <w:sz w:val="18"/>
    </w:rPr>
    <w:tblPr>
      <w:tblBorders>
        <w:bottom w:val="single" w:sz="4" w:space="0" w:color="046B5C" w:themeColor="text2"/>
        <w:insideH w:val="single" w:sz="4" w:space="0" w:color="5B6771" w:themeColor="accent3"/>
      </w:tblBorders>
      <w:tblCellMar>
        <w:left w:w="58" w:type="dxa"/>
        <w:right w:w="58" w:type="dxa"/>
      </w:tblCellMar>
    </w:tblPr>
    <w:trPr>
      <w:cantSplit/>
    </w:trPr>
    <w:tcPr>
      <w:shd w:val="clear" w:color="auto" w:fill="FFFFFF" w:themeFill="background1"/>
      <w:tcMar>
        <w:top w:w="0" w:type="dxa"/>
        <w:bottom w:w="0" w:type="dxa"/>
      </w:tcMar>
    </w:tcPr>
    <w:tblStylePr w:type="firstRow">
      <w:pPr>
        <w:jc w:val="left"/>
      </w:pPr>
      <w:rPr>
        <w:b/>
        <w:color w:val="FFFFFF" w:themeColor="background1"/>
      </w:rPr>
      <w:tblPr/>
      <w:tcPr>
        <w:tcBorders>
          <w:top w:val="nil"/>
          <w:left w:val="nil"/>
          <w:bottom w:val="single" w:sz="4" w:space="0" w:color="046B5C" w:themeColor="text2"/>
          <w:right w:val="nil"/>
          <w:insideH w:val="nil"/>
          <w:insideV w:val="single" w:sz="4" w:space="0" w:color="FFFFFF" w:themeColor="background1"/>
          <w:tl2br w:val="nil"/>
          <w:tr2bl w:val="nil"/>
        </w:tcBorders>
        <w:shd w:val="clear" w:color="auto" w:fill="046B5C" w:themeFill="text2"/>
      </w:tcPr>
    </w:tblStylePr>
    <w:tblStylePr w:type="lastRow">
      <w:rPr>
        <w:color w:val="000000" w:themeColor="text1"/>
      </w:rPr>
      <w:tblPr/>
      <w:tcPr>
        <w:tcBorders>
          <w:bottom w:val="single" w:sz="4" w:space="0" w:color="046B5C" w:themeColor="text2"/>
        </w:tcBorders>
        <w:shd w:val="clear" w:color="auto" w:fill="FFFFFF" w:themeFill="background1"/>
      </w:tcPr>
    </w:tblStylePr>
    <w:tblStylePr w:type="firstCol">
      <w:tblPr/>
      <w:tcPr>
        <w:tcBorders>
          <w:right w:val="single" w:sz="4" w:space="0" w:color="5B6771" w:themeColor="accent3"/>
        </w:tcBorders>
        <w:shd w:val="clear" w:color="auto" w:fill="FFFFFF" w:themeFill="background1"/>
      </w:tcPr>
    </w:tblStylePr>
    <w:tblStylePr w:type="lastCol">
      <w:tblPr/>
      <w:tcPr>
        <w:tcBorders>
          <w:top w:val="nil"/>
          <w:left w:val="nil"/>
          <w:bottom w:val="single" w:sz="4" w:space="0" w:color="5B6771" w:themeColor="accent3"/>
          <w:right w:val="nil"/>
          <w:insideH w:val="nil"/>
          <w:insideV w:val="nil"/>
          <w:tl2br w:val="nil"/>
          <w:tr2bl w:val="nil"/>
        </w:tcBorders>
        <w:shd w:val="clear" w:color="auto" w:fill="FFFFFF" w:themeFill="background1"/>
      </w:tcPr>
    </w:tblStylePr>
    <w:tblStylePr w:type="neCell">
      <w:pPr>
        <w:jc w:val="left"/>
      </w:pPr>
      <w:tblPr/>
      <w:tcPr>
        <w:tcBorders>
          <w:right w:val="single" w:sz="4" w:space="0" w:color="FFFFFF" w:themeColor="background1"/>
        </w:tcBorders>
        <w:shd w:val="clear" w:color="auto" w:fill="046B5C" w:themeFill="text2"/>
      </w:tcPr>
    </w:tblStylePr>
  </w:style>
  <w:style w:type="character" w:styleId="PlaceholderText">
    <w:name w:val="Placeholder Text"/>
    <w:basedOn w:val="DefaultParagraphFont"/>
    <w:qFormat/>
    <w:rsid w:val="00A238F6"/>
    <w:rPr>
      <w:color w:val="808080"/>
    </w:rPr>
  </w:style>
  <w:style w:type="paragraph" w:customStyle="1" w:styleId="TableTextDecimalWide">
    <w:name w:val="Table Text Decimal Wide"/>
    <w:basedOn w:val="TableTextDecimal"/>
    <w:qFormat/>
    <w:rsid w:val="00B36B45"/>
    <w:pPr>
      <w:tabs>
        <w:tab w:val="clear" w:pos="576"/>
        <w:tab w:val="decimal" w:pos="864"/>
      </w:tabs>
    </w:pPr>
  </w:style>
  <w:style w:type="paragraph" w:customStyle="1" w:styleId="TableTextDecimalNarrow">
    <w:name w:val="Table Text Decimal Narrow"/>
    <w:basedOn w:val="TableTextDecimalWide"/>
    <w:qFormat/>
    <w:rsid w:val="00B36B45"/>
    <w:pPr>
      <w:tabs>
        <w:tab w:val="clear" w:pos="864"/>
        <w:tab w:val="decimal" w:pos="360"/>
      </w:tabs>
    </w:pPr>
  </w:style>
  <w:style w:type="paragraph" w:styleId="ListBullet4">
    <w:name w:val="List Bullet 4"/>
    <w:basedOn w:val="Normal"/>
    <w:qFormat/>
    <w:rsid w:val="00B36B45"/>
    <w:pPr>
      <w:numPr>
        <w:numId w:val="10"/>
      </w:numPr>
      <w:contextualSpacing/>
    </w:pPr>
  </w:style>
  <w:style w:type="paragraph" w:customStyle="1" w:styleId="TitleRule">
    <w:name w:val="Title Rule"/>
    <w:basedOn w:val="Normal"/>
    <w:qFormat/>
    <w:rsid w:val="00B36B45"/>
    <w:pPr>
      <w:keepNext/>
      <w:spacing w:before="240" w:after="80"/>
    </w:pPr>
  </w:style>
  <w:style w:type="paragraph" w:styleId="ListBullet5">
    <w:name w:val="List Bullet 5"/>
    <w:basedOn w:val="Normal"/>
    <w:qFormat/>
    <w:rsid w:val="00B36B45"/>
    <w:pPr>
      <w:numPr>
        <w:numId w:val="11"/>
      </w:numPr>
      <w:contextualSpacing/>
    </w:pPr>
  </w:style>
  <w:style w:type="paragraph" w:styleId="ListNumber5">
    <w:name w:val="List Number 5"/>
    <w:basedOn w:val="Normal"/>
    <w:qFormat/>
    <w:rsid w:val="000200AA"/>
    <w:pPr>
      <w:numPr>
        <w:numId w:val="15"/>
      </w:numPr>
      <w:spacing w:after="80"/>
    </w:pPr>
  </w:style>
  <w:style w:type="paragraph" w:customStyle="1" w:styleId="Sidebar">
    <w:name w:val="Sidebar"/>
    <w:basedOn w:val="Normal"/>
    <w:qFormat/>
    <w:rsid w:val="00CB2B76"/>
    <w:pPr>
      <w:tabs>
        <w:tab w:val="right" w:pos="4680"/>
      </w:tabs>
      <w:spacing w:after="60" w:line="260" w:lineRule="atLeast"/>
    </w:pPr>
    <w:rPr>
      <w:rFonts w:asciiTheme="majorHAnsi" w:hAnsiTheme="majorHAnsi"/>
      <w:color w:val="444D54" w:themeColor="accent3" w:themeShade="BF"/>
      <w:sz w:val="18"/>
    </w:rPr>
  </w:style>
  <w:style w:type="paragraph" w:customStyle="1" w:styleId="SidebarListBullet">
    <w:name w:val="Sidebar List Bullet"/>
    <w:basedOn w:val="Sidebar"/>
    <w:qFormat/>
    <w:rsid w:val="00D12801"/>
    <w:pPr>
      <w:framePr w:hSpace="180" w:wrap="around" w:vAnchor="text" w:hAnchor="text" w:y="21"/>
      <w:numPr>
        <w:numId w:val="28"/>
      </w:numPr>
      <w:suppressOverlap/>
    </w:pPr>
  </w:style>
  <w:style w:type="paragraph" w:customStyle="1" w:styleId="SidebarListNumber">
    <w:name w:val="Sidebar List Number"/>
    <w:basedOn w:val="Sidebar"/>
    <w:qFormat/>
    <w:rsid w:val="00D12801"/>
    <w:pPr>
      <w:framePr w:hSpace="115" w:vSpace="58" w:wrap="notBeside" w:vAnchor="text" w:hAnchor="margin" w:y="59"/>
      <w:numPr>
        <w:numId w:val="26"/>
      </w:numPr>
      <w:adjustRightInd w:val="0"/>
    </w:pPr>
  </w:style>
  <w:style w:type="paragraph" w:customStyle="1" w:styleId="TableListBullet2">
    <w:name w:val="Table List Bullet 2"/>
    <w:basedOn w:val="TableListBullet"/>
    <w:qFormat/>
    <w:rsid w:val="003C63E3"/>
    <w:pPr>
      <w:numPr>
        <w:numId w:val="24"/>
      </w:numPr>
    </w:pPr>
  </w:style>
  <w:style w:type="character" w:customStyle="1" w:styleId="Heading2Char">
    <w:name w:val="Heading 2 Char"/>
    <w:basedOn w:val="DefaultParagraphFont"/>
    <w:link w:val="Heading2"/>
    <w:rsid w:val="00B36B45"/>
    <w:rPr>
      <w:rFonts w:asciiTheme="majorHAnsi" w:eastAsiaTheme="majorEastAsia" w:hAnsiTheme="majorHAnsi" w:cstheme="majorBidi"/>
      <w:color w:val="081E36" w:themeColor="accent1" w:themeShade="BF"/>
      <w:sz w:val="26"/>
      <w:szCs w:val="26"/>
    </w:rPr>
  </w:style>
  <w:style w:type="character" w:customStyle="1" w:styleId="Heading3Char">
    <w:name w:val="Heading 3 Char"/>
    <w:basedOn w:val="DefaultParagraphFont"/>
    <w:link w:val="Heading3"/>
    <w:rsid w:val="00B36B45"/>
    <w:rPr>
      <w:rFonts w:asciiTheme="majorHAnsi" w:eastAsiaTheme="majorEastAsia" w:hAnsiTheme="majorHAnsi" w:cstheme="majorBidi"/>
      <w:color w:val="051424" w:themeColor="accent1" w:themeShade="7F"/>
      <w:sz w:val="24"/>
      <w:szCs w:val="24"/>
    </w:rPr>
  </w:style>
  <w:style w:type="character" w:customStyle="1" w:styleId="Heading4Char">
    <w:name w:val="Heading 4 Char"/>
    <w:basedOn w:val="DefaultParagraphFont"/>
    <w:link w:val="Heading4"/>
    <w:rsid w:val="00B36B45"/>
    <w:rPr>
      <w:rFonts w:asciiTheme="majorHAnsi" w:eastAsiaTheme="majorEastAsia" w:hAnsiTheme="majorHAnsi" w:cstheme="majorBidi"/>
      <w:i/>
      <w:iCs/>
      <w:color w:val="081E36" w:themeColor="accent1" w:themeShade="BF"/>
      <w:sz w:val="20"/>
    </w:rPr>
  </w:style>
  <w:style w:type="character" w:customStyle="1" w:styleId="Heading5Char">
    <w:name w:val="Heading 5 Char"/>
    <w:basedOn w:val="DefaultParagraphFont"/>
    <w:link w:val="Heading5"/>
    <w:rsid w:val="00B36B45"/>
    <w:rPr>
      <w:rFonts w:asciiTheme="majorHAnsi" w:eastAsiaTheme="majorEastAsia" w:hAnsiTheme="majorHAnsi" w:cstheme="majorBidi"/>
      <w:color w:val="081E36" w:themeColor="accent1" w:themeShade="BF"/>
      <w:sz w:val="20"/>
    </w:rPr>
  </w:style>
  <w:style w:type="character" w:customStyle="1" w:styleId="Heading6Char">
    <w:name w:val="Heading 6 Char"/>
    <w:basedOn w:val="DefaultParagraphFont"/>
    <w:link w:val="Heading6"/>
    <w:rsid w:val="00B36B45"/>
    <w:rPr>
      <w:rFonts w:asciiTheme="majorHAnsi" w:eastAsiaTheme="majorEastAsia" w:hAnsiTheme="majorHAnsi" w:cstheme="majorBidi"/>
      <w:color w:val="051424" w:themeColor="accent1" w:themeShade="7F"/>
      <w:sz w:val="20"/>
    </w:rPr>
  </w:style>
  <w:style w:type="character" w:customStyle="1" w:styleId="Heading7Char">
    <w:name w:val="Heading 7 Char"/>
    <w:basedOn w:val="DefaultParagraphFont"/>
    <w:link w:val="Heading7"/>
    <w:rsid w:val="00B36B45"/>
    <w:rPr>
      <w:rFonts w:asciiTheme="majorHAnsi" w:eastAsiaTheme="majorEastAsia" w:hAnsiTheme="majorHAnsi" w:cstheme="majorBidi"/>
      <w:i/>
      <w:iCs/>
      <w:color w:val="051424" w:themeColor="accent1" w:themeShade="7F"/>
      <w:sz w:val="20"/>
    </w:rPr>
  </w:style>
  <w:style w:type="character" w:customStyle="1" w:styleId="Heading8Char">
    <w:name w:val="Heading 8 Char"/>
    <w:basedOn w:val="DefaultParagraphFont"/>
    <w:link w:val="Heading8"/>
    <w:rsid w:val="00B36B45"/>
    <w:rPr>
      <w:rFonts w:asciiTheme="majorHAnsi" w:eastAsiaTheme="majorEastAsia" w:hAnsiTheme="majorHAnsi" w:cstheme="majorBidi"/>
      <w:color w:val="272727" w:themeColor="text1" w:themeTint="D8"/>
      <w:sz w:val="21"/>
      <w:szCs w:val="21"/>
    </w:rPr>
  </w:style>
  <w:style w:type="paragraph" w:customStyle="1" w:styleId="TableListNumber2">
    <w:name w:val="Table List Number 2"/>
    <w:basedOn w:val="TableListNumber"/>
    <w:qFormat/>
    <w:rsid w:val="0045550D"/>
    <w:pPr>
      <w:numPr>
        <w:numId w:val="25"/>
      </w:numPr>
    </w:pPr>
  </w:style>
  <w:style w:type="paragraph" w:styleId="ListContinue3">
    <w:name w:val="List Continue 3"/>
    <w:basedOn w:val="Normal"/>
    <w:qFormat/>
    <w:rsid w:val="00560C05"/>
    <w:pPr>
      <w:spacing w:after="80"/>
      <w:ind w:left="540"/>
    </w:pPr>
  </w:style>
  <w:style w:type="paragraph" w:styleId="List5">
    <w:name w:val="List 5"/>
    <w:basedOn w:val="Normal"/>
    <w:qFormat/>
    <w:rsid w:val="00B36B45"/>
    <w:pPr>
      <w:numPr>
        <w:ilvl w:val="4"/>
        <w:numId w:val="7"/>
      </w:numPr>
      <w:contextualSpacing/>
    </w:pPr>
  </w:style>
  <w:style w:type="character" w:styleId="UnresolvedMention">
    <w:name w:val="Unresolved Mention"/>
    <w:basedOn w:val="DefaultParagraphFont"/>
    <w:qFormat/>
    <w:rsid w:val="00CC2963"/>
    <w:rPr>
      <w:color w:val="605E5C"/>
      <w:shd w:val="clear" w:color="auto" w:fill="E1DFDD"/>
    </w:rPr>
  </w:style>
  <w:style w:type="character" w:customStyle="1" w:styleId="H1Char">
    <w:name w:val="H1 Char"/>
    <w:basedOn w:val="DefaultParagraphFont"/>
    <w:link w:val="H1"/>
    <w:rsid w:val="00E97A25"/>
    <w:rPr>
      <w:rFonts w:asciiTheme="majorHAnsi" w:eastAsiaTheme="majorEastAsia" w:hAnsiTheme="majorHAnsi" w:cstheme="majorBidi"/>
      <w:color w:val="046B5C" w:themeColor="text2"/>
      <w:sz w:val="30"/>
      <w:szCs w:val="32"/>
    </w:rPr>
  </w:style>
  <w:style w:type="paragraph" w:customStyle="1" w:styleId="ListHead">
    <w:name w:val="List Head"/>
    <w:basedOn w:val="Paragraph"/>
    <w:qFormat/>
    <w:rsid w:val="00B36B45"/>
    <w:pPr>
      <w:spacing w:before="240" w:after="0"/>
    </w:pPr>
    <w:rPr>
      <w:b/>
    </w:rPr>
  </w:style>
  <w:style w:type="character" w:customStyle="1" w:styleId="Bold">
    <w:name w:val="Bold"/>
    <w:basedOn w:val="DefaultParagraphFont"/>
    <w:qFormat/>
    <w:rsid w:val="00C37330"/>
    <w:rPr>
      <w:b/>
    </w:rPr>
  </w:style>
  <w:style w:type="character" w:customStyle="1" w:styleId="Italic">
    <w:name w:val="Italic"/>
    <w:basedOn w:val="DefaultParagraphFont"/>
    <w:qFormat/>
    <w:rsid w:val="00965F6E"/>
    <w:rPr>
      <w:i/>
    </w:rPr>
  </w:style>
  <w:style w:type="paragraph" w:customStyle="1" w:styleId="mathematicaorg">
    <w:name w:val="mathematica.org"/>
    <w:link w:val="mathematicaorgChar"/>
    <w:qFormat/>
    <w:rsid w:val="00432C64"/>
    <w:pPr>
      <w:spacing w:after="0" w:line="240" w:lineRule="auto"/>
      <w:jc w:val="right"/>
    </w:pPr>
    <w:rPr>
      <w:rFonts w:asciiTheme="majorHAnsi" w:eastAsia="Times New Roman" w:hAnsiTheme="majorHAnsi" w:cs="Times New Roman"/>
      <w:noProof/>
      <w:spacing w:val="-2"/>
      <w:sz w:val="18"/>
      <w:szCs w:val="19"/>
    </w:rPr>
  </w:style>
  <w:style w:type="table" w:customStyle="1" w:styleId="CoverTable">
    <w:name w:val="Cover Table"/>
    <w:basedOn w:val="TableNormal"/>
    <w:rsid w:val="003B4BF4"/>
    <w:pPr>
      <w:spacing w:after="0" w:line="240" w:lineRule="auto"/>
    </w:pPr>
    <w:rPr>
      <w:rFonts w:eastAsiaTheme="minorEastAsia"/>
      <w:szCs w:val="24"/>
    </w:rPr>
    <w:tblPr/>
    <w:tcPr>
      <w:noWrap/>
      <w:tcMar>
        <w:left w:w="0" w:type="dxa"/>
        <w:right w:w="0" w:type="dxa"/>
      </w:tcMar>
    </w:tcPr>
  </w:style>
  <w:style w:type="paragraph" w:customStyle="1" w:styleId="CoverRFP">
    <w:name w:val="Cover RFP"/>
    <w:basedOn w:val="CoverDate"/>
    <w:qFormat/>
    <w:rsid w:val="00B36B45"/>
    <w:pPr>
      <w:spacing w:before="3000" w:line="252" w:lineRule="auto"/>
    </w:pPr>
    <w:rPr>
      <w:rFonts w:eastAsia="Times New Roman" w:cs="Times New Roman"/>
      <w:bCs w:val="0"/>
      <w:spacing w:val="2"/>
      <w:szCs w:val="20"/>
    </w:rPr>
  </w:style>
  <w:style w:type="numbering" w:customStyle="1" w:styleId="Feature2">
    <w:name w:val="Feature 2"/>
    <w:semiHidden/>
    <w:rsid w:val="001922D2"/>
    <w:pPr>
      <w:numPr>
        <w:numId w:val="1"/>
      </w:numPr>
    </w:pPr>
  </w:style>
  <w:style w:type="paragraph" w:customStyle="1" w:styleId="Covertextborder">
    <w:name w:val="Cover text border"/>
    <w:qFormat/>
    <w:rsid w:val="00A911AC"/>
    <w:pPr>
      <w:pBdr>
        <w:bottom w:val="single" w:sz="36" w:space="1" w:color="F1B51C" w:themeColor="accent4"/>
      </w:pBdr>
      <w:spacing w:before="120" w:after="240" w:line="240" w:lineRule="auto"/>
      <w:ind w:right="6480"/>
    </w:pPr>
    <w:rPr>
      <w:rFonts w:ascii="Arial" w:hAnsi="Arial" w:cs="Arial"/>
      <w:color w:val="0B2949" w:themeColor="accent1"/>
      <w:spacing w:val="2"/>
      <w:sz w:val="8"/>
      <w:szCs w:val="4"/>
    </w:rPr>
  </w:style>
  <w:style w:type="paragraph" w:customStyle="1" w:styleId="CoverRFPNumber">
    <w:name w:val="Cover RFP Number"/>
    <w:qFormat/>
    <w:rsid w:val="00800B55"/>
    <w:pPr>
      <w:widowControl w:val="0"/>
      <w:spacing w:before="1600" w:after="0" w:line="252" w:lineRule="auto"/>
    </w:pPr>
    <w:rPr>
      <w:rFonts w:ascii="Arial" w:hAnsi="Arial" w:cs="Arial"/>
      <w:b/>
      <w:color w:val="0B2949" w:themeColor="accent1"/>
      <w:spacing w:val="2"/>
      <w:sz w:val="24"/>
      <w:szCs w:val="24"/>
    </w:rPr>
  </w:style>
  <w:style w:type="paragraph" w:customStyle="1" w:styleId="CoverProposalVolume">
    <w:name w:val="Cover Proposal Volume"/>
    <w:qFormat/>
    <w:rsid w:val="00B36B45"/>
    <w:pPr>
      <w:spacing w:after="0" w:line="252" w:lineRule="auto"/>
    </w:pPr>
    <w:rPr>
      <w:rFonts w:ascii="Arial" w:hAnsi="Arial" w:cs="Arial"/>
      <w:b/>
      <w:color w:val="0B2949" w:themeColor="accent1"/>
      <w:spacing w:val="2"/>
      <w:sz w:val="24"/>
      <w:szCs w:val="24"/>
    </w:rPr>
  </w:style>
  <w:style w:type="paragraph" w:customStyle="1" w:styleId="Reference">
    <w:name w:val="Reference"/>
    <w:basedOn w:val="ListContinue"/>
    <w:qFormat/>
    <w:rsid w:val="00B60756"/>
    <w:pPr>
      <w:keepLines/>
      <w:spacing w:line="240" w:lineRule="atLeast"/>
      <w:ind w:left="288" w:hanging="288"/>
    </w:pPr>
    <w:rPr>
      <w:sz w:val="18"/>
    </w:rPr>
  </w:style>
  <w:style w:type="paragraph" w:styleId="TOC4">
    <w:name w:val="toc 4"/>
    <w:basedOn w:val="Normal"/>
    <w:next w:val="Normal"/>
    <w:qFormat/>
    <w:rsid w:val="00AF1CD5"/>
    <w:pPr>
      <w:spacing w:after="100"/>
      <w:ind w:left="1728" w:hanging="432"/>
    </w:pPr>
    <w:rPr>
      <w:rFonts w:asciiTheme="majorHAnsi" w:hAnsiTheme="majorHAnsi"/>
      <w:sz w:val="19"/>
    </w:rPr>
  </w:style>
  <w:style w:type="paragraph" w:customStyle="1" w:styleId="Disclaimer">
    <w:name w:val="Disclaimer"/>
    <w:basedOn w:val="Footer"/>
    <w:qFormat/>
    <w:rsid w:val="00B36B45"/>
    <w:pPr>
      <w:pBdr>
        <w:top w:val="single" w:sz="6" w:space="4" w:color="0B2949" w:themeColor="accent1"/>
      </w:pBdr>
      <w:spacing w:before="80" w:after="80"/>
    </w:pPr>
    <w:rPr>
      <w:rFonts w:eastAsia="Times New Roman" w:cs="Times New Roman"/>
      <w:szCs w:val="20"/>
    </w:rPr>
  </w:style>
  <w:style w:type="character" w:customStyle="1" w:styleId="Subscript">
    <w:name w:val="Subscript"/>
    <w:basedOn w:val="DefaultParagraphFont"/>
    <w:qFormat/>
    <w:rsid w:val="00BF5564"/>
    <w:rPr>
      <w:vertAlign w:val="subscript"/>
    </w:rPr>
  </w:style>
  <w:style w:type="paragraph" w:styleId="Salutation">
    <w:name w:val="Salutation"/>
    <w:basedOn w:val="Normal"/>
    <w:next w:val="Paragraph"/>
    <w:link w:val="SalutationChar"/>
    <w:qFormat/>
    <w:rsid w:val="00B60756"/>
    <w:pPr>
      <w:tabs>
        <w:tab w:val="left" w:pos="1440"/>
      </w:tabs>
      <w:spacing w:line="245" w:lineRule="auto"/>
      <w:ind w:left="1440" w:hanging="1440"/>
    </w:pPr>
  </w:style>
  <w:style w:type="character" w:customStyle="1" w:styleId="SalutationChar">
    <w:name w:val="Salutation Char"/>
    <w:basedOn w:val="DefaultParagraphFont"/>
    <w:link w:val="Salutation"/>
    <w:rsid w:val="00A71D46"/>
    <w:rPr>
      <w:sz w:val="20"/>
    </w:rPr>
  </w:style>
  <w:style w:type="numbering" w:styleId="111111">
    <w:name w:val="Outline List 2"/>
    <w:basedOn w:val="NoList"/>
    <w:semiHidden/>
    <w:unhideWhenUsed/>
    <w:rsid w:val="00C042A3"/>
    <w:pPr>
      <w:numPr>
        <w:numId w:val="2"/>
      </w:numPr>
    </w:pPr>
  </w:style>
  <w:style w:type="character" w:styleId="Hyperlink">
    <w:name w:val="Hyperlink"/>
    <w:basedOn w:val="DefaultParagraphFont"/>
    <w:unhideWhenUsed/>
    <w:qFormat/>
    <w:rsid w:val="00AF2A99"/>
    <w:rPr>
      <w:color w:val="0563C1" w:themeColor="hyperlink"/>
      <w:u w:val="single"/>
    </w:rPr>
  </w:style>
  <w:style w:type="character" w:customStyle="1" w:styleId="Superscript">
    <w:name w:val="Superscript"/>
    <w:basedOn w:val="DefaultParagraphFont"/>
    <w:qFormat/>
    <w:rsid w:val="00D90A52"/>
    <w:rPr>
      <w:vertAlign w:val="superscript"/>
    </w:rPr>
  </w:style>
  <w:style w:type="character" w:customStyle="1" w:styleId="Underline">
    <w:name w:val="Underline"/>
    <w:basedOn w:val="DefaultParagraphFont"/>
    <w:qFormat/>
    <w:rsid w:val="00AF717A"/>
    <w:rPr>
      <w:u w:val="single"/>
    </w:rPr>
  </w:style>
  <w:style w:type="paragraph" w:styleId="FootnoteText">
    <w:name w:val="footnote text"/>
    <w:basedOn w:val="Normal"/>
    <w:link w:val="FootnoteTextChar"/>
    <w:qFormat/>
    <w:rsid w:val="000B24F4"/>
    <w:pPr>
      <w:spacing w:after="40" w:line="220" w:lineRule="atLeast"/>
    </w:pPr>
    <w:rPr>
      <w:sz w:val="18"/>
      <w:szCs w:val="20"/>
    </w:rPr>
  </w:style>
  <w:style w:type="character" w:customStyle="1" w:styleId="FootnoteTextChar">
    <w:name w:val="Footnote Text Char"/>
    <w:basedOn w:val="DefaultParagraphFont"/>
    <w:link w:val="FootnoteText"/>
    <w:rsid w:val="00A71D46"/>
    <w:rPr>
      <w:sz w:val="18"/>
      <w:szCs w:val="20"/>
    </w:rPr>
  </w:style>
  <w:style w:type="character" w:styleId="FootnoteReference">
    <w:name w:val="footnote reference"/>
    <w:basedOn w:val="DefaultParagraphFont"/>
    <w:qFormat/>
    <w:rsid w:val="00245E02"/>
    <w:rPr>
      <w:vertAlign w:val="superscript"/>
    </w:rPr>
  </w:style>
  <w:style w:type="paragraph" w:styleId="EndnoteText">
    <w:name w:val="endnote text"/>
    <w:basedOn w:val="Normal"/>
    <w:link w:val="EndnoteTextChar"/>
    <w:qFormat/>
    <w:rsid w:val="000B24F4"/>
    <w:pPr>
      <w:spacing w:after="60" w:line="220" w:lineRule="atLeast"/>
    </w:pPr>
    <w:rPr>
      <w:sz w:val="18"/>
      <w:szCs w:val="20"/>
    </w:rPr>
  </w:style>
  <w:style w:type="character" w:customStyle="1" w:styleId="EndnoteTextChar">
    <w:name w:val="Endnote Text Char"/>
    <w:basedOn w:val="DefaultParagraphFont"/>
    <w:link w:val="EndnoteText"/>
    <w:semiHidden/>
    <w:rsid w:val="000B24F4"/>
    <w:rPr>
      <w:sz w:val="18"/>
      <w:szCs w:val="20"/>
    </w:rPr>
  </w:style>
  <w:style w:type="paragraph" w:styleId="NoSpacing">
    <w:name w:val="No Spacing"/>
    <w:qFormat/>
    <w:rsid w:val="00822F6D"/>
    <w:pPr>
      <w:spacing w:after="0" w:line="240" w:lineRule="auto"/>
    </w:pPr>
    <w:rPr>
      <w:sz w:val="10"/>
    </w:rPr>
  </w:style>
  <w:style w:type="numbering" w:styleId="1ai">
    <w:name w:val="Outline List 1"/>
    <w:basedOn w:val="NoList"/>
    <w:semiHidden/>
    <w:unhideWhenUsed/>
    <w:rsid w:val="00AF1C85"/>
    <w:pPr>
      <w:numPr>
        <w:numId w:val="3"/>
      </w:numPr>
    </w:pPr>
  </w:style>
  <w:style w:type="numbering" w:styleId="ArticleSection">
    <w:name w:val="Outline List 3"/>
    <w:basedOn w:val="NoList"/>
    <w:semiHidden/>
    <w:unhideWhenUsed/>
    <w:rsid w:val="00AF1C85"/>
    <w:pPr>
      <w:numPr>
        <w:numId w:val="4"/>
      </w:numPr>
    </w:pPr>
  </w:style>
  <w:style w:type="table" w:styleId="ColorfulGrid">
    <w:name w:val="Colorful Grid"/>
    <w:basedOn w:val="TableNormal"/>
    <w:unhideWhenUsed/>
    <w:rsid w:val="00B36B4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nhideWhenUsed/>
    <w:rsid w:val="00B36B4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4D3F3" w:themeFill="accent1" w:themeFillTint="33"/>
    </w:tcPr>
    <w:tblStylePr w:type="firstRow">
      <w:rPr>
        <w:b/>
        <w:bCs/>
      </w:rPr>
      <w:tblPr/>
      <w:tcPr>
        <w:shd w:val="clear" w:color="auto" w:fill="6AA7E8" w:themeFill="accent1" w:themeFillTint="66"/>
      </w:tcPr>
    </w:tblStylePr>
    <w:tblStylePr w:type="lastRow">
      <w:rPr>
        <w:b/>
        <w:bCs/>
        <w:color w:val="000000" w:themeColor="text1"/>
      </w:rPr>
      <w:tblPr/>
      <w:tcPr>
        <w:shd w:val="clear" w:color="auto" w:fill="6AA7E8" w:themeFill="accent1" w:themeFillTint="66"/>
      </w:tcPr>
    </w:tblStylePr>
    <w:tblStylePr w:type="firstCol">
      <w:rPr>
        <w:color w:val="FFFFFF" w:themeColor="background1"/>
      </w:rPr>
      <w:tblPr/>
      <w:tcPr>
        <w:shd w:val="clear" w:color="auto" w:fill="081E36" w:themeFill="accent1" w:themeFillShade="BF"/>
      </w:tcPr>
    </w:tblStylePr>
    <w:tblStylePr w:type="lastCol">
      <w:rPr>
        <w:color w:val="FFFFFF" w:themeColor="background1"/>
      </w:rPr>
      <w:tblPr/>
      <w:tcPr>
        <w:shd w:val="clear" w:color="auto" w:fill="081E36" w:themeFill="accent1" w:themeFillShade="BF"/>
      </w:tcPr>
    </w:tblStylePr>
    <w:tblStylePr w:type="band1Vert">
      <w:tblPr/>
      <w:tcPr>
        <w:shd w:val="clear" w:color="auto" w:fill="4692E3" w:themeFill="accent1" w:themeFillTint="7F"/>
      </w:tcPr>
    </w:tblStylePr>
    <w:tblStylePr w:type="band1Horz">
      <w:tblPr/>
      <w:tcPr>
        <w:shd w:val="clear" w:color="auto" w:fill="4692E3" w:themeFill="accent1" w:themeFillTint="7F"/>
      </w:tcPr>
    </w:tblStylePr>
  </w:style>
  <w:style w:type="table" w:styleId="ColorfulGrid-Accent2">
    <w:name w:val="Colorful Grid Accent 2"/>
    <w:basedOn w:val="TableNormal"/>
    <w:unhideWhenUsed/>
    <w:rsid w:val="00B36B4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3D2" w:themeFill="accent2" w:themeFillTint="33"/>
    </w:tcPr>
    <w:tblStylePr w:type="firstRow">
      <w:rPr>
        <w:b/>
        <w:bCs/>
      </w:rPr>
      <w:tblPr/>
      <w:tcPr>
        <w:shd w:val="clear" w:color="auto" w:fill="EEA7A6" w:themeFill="accent2" w:themeFillTint="66"/>
      </w:tcPr>
    </w:tblStylePr>
    <w:tblStylePr w:type="lastRow">
      <w:rPr>
        <w:b/>
        <w:bCs/>
        <w:color w:val="000000" w:themeColor="text1"/>
      </w:rPr>
      <w:tblPr/>
      <w:tcPr>
        <w:shd w:val="clear" w:color="auto" w:fill="EEA7A6" w:themeFill="accent2" w:themeFillTint="66"/>
      </w:tcPr>
    </w:tblStylePr>
    <w:tblStylePr w:type="firstCol">
      <w:rPr>
        <w:color w:val="FFFFFF" w:themeColor="background1"/>
      </w:rPr>
      <w:tblPr/>
      <w:tcPr>
        <w:shd w:val="clear" w:color="auto" w:fill="9B201D" w:themeFill="accent2" w:themeFillShade="BF"/>
      </w:tcPr>
    </w:tblStylePr>
    <w:tblStylePr w:type="lastCol">
      <w:rPr>
        <w:color w:val="FFFFFF" w:themeColor="background1"/>
      </w:rPr>
      <w:tblPr/>
      <w:tcPr>
        <w:shd w:val="clear" w:color="auto" w:fill="9B201D" w:themeFill="accent2" w:themeFillShade="BF"/>
      </w:tcPr>
    </w:tblStylePr>
    <w:tblStylePr w:type="band1Vert">
      <w:tblPr/>
      <w:tcPr>
        <w:shd w:val="clear" w:color="auto" w:fill="EA9290" w:themeFill="accent2" w:themeFillTint="7F"/>
      </w:tcPr>
    </w:tblStylePr>
    <w:tblStylePr w:type="band1Horz">
      <w:tblPr/>
      <w:tcPr>
        <w:shd w:val="clear" w:color="auto" w:fill="EA9290" w:themeFill="accent2" w:themeFillTint="7F"/>
      </w:tcPr>
    </w:tblStylePr>
  </w:style>
  <w:style w:type="table" w:styleId="ColorfulGrid-Accent3">
    <w:name w:val="Colorful Grid Accent 3"/>
    <w:basedOn w:val="TableNormal"/>
    <w:unhideWhenUsed/>
    <w:rsid w:val="00B36B4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0E3" w:themeFill="accent3" w:themeFillTint="33"/>
    </w:tcPr>
    <w:tblStylePr w:type="firstRow">
      <w:rPr>
        <w:b/>
        <w:bCs/>
      </w:rPr>
      <w:tblPr/>
      <w:tcPr>
        <w:shd w:val="clear" w:color="auto" w:fill="BBC2C8" w:themeFill="accent3" w:themeFillTint="66"/>
      </w:tcPr>
    </w:tblStylePr>
    <w:tblStylePr w:type="lastRow">
      <w:rPr>
        <w:b/>
        <w:bCs/>
        <w:color w:val="000000" w:themeColor="text1"/>
      </w:rPr>
      <w:tblPr/>
      <w:tcPr>
        <w:shd w:val="clear" w:color="auto" w:fill="BBC2C8" w:themeFill="accent3" w:themeFillTint="66"/>
      </w:tcPr>
    </w:tblStylePr>
    <w:tblStylePr w:type="firstCol">
      <w:rPr>
        <w:color w:val="FFFFFF" w:themeColor="background1"/>
      </w:rPr>
      <w:tblPr/>
      <w:tcPr>
        <w:shd w:val="clear" w:color="auto" w:fill="444D54" w:themeFill="accent3" w:themeFillShade="BF"/>
      </w:tcPr>
    </w:tblStylePr>
    <w:tblStylePr w:type="lastCol">
      <w:rPr>
        <w:color w:val="FFFFFF" w:themeColor="background1"/>
      </w:rPr>
      <w:tblPr/>
      <w:tcPr>
        <w:shd w:val="clear" w:color="auto" w:fill="444D54" w:themeFill="accent3" w:themeFillShade="BF"/>
      </w:tcPr>
    </w:tblStylePr>
    <w:tblStylePr w:type="band1Vert">
      <w:tblPr/>
      <w:tcPr>
        <w:shd w:val="clear" w:color="auto" w:fill="AAB3BB" w:themeFill="accent3" w:themeFillTint="7F"/>
      </w:tcPr>
    </w:tblStylePr>
    <w:tblStylePr w:type="band1Horz">
      <w:tblPr/>
      <w:tcPr>
        <w:shd w:val="clear" w:color="auto" w:fill="AAB3BB" w:themeFill="accent3" w:themeFillTint="7F"/>
      </w:tcPr>
    </w:tblStylePr>
  </w:style>
  <w:style w:type="table" w:styleId="ColorfulGrid-Accent4">
    <w:name w:val="Colorful Grid Accent 4"/>
    <w:basedOn w:val="TableNormal"/>
    <w:unhideWhenUsed/>
    <w:rsid w:val="00B36B4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0D1" w:themeFill="accent4" w:themeFillTint="33"/>
    </w:tcPr>
    <w:tblStylePr w:type="firstRow">
      <w:rPr>
        <w:b/>
        <w:bCs/>
      </w:rPr>
      <w:tblPr/>
      <w:tcPr>
        <w:shd w:val="clear" w:color="auto" w:fill="F9E1A3" w:themeFill="accent4" w:themeFillTint="66"/>
      </w:tcPr>
    </w:tblStylePr>
    <w:tblStylePr w:type="lastRow">
      <w:rPr>
        <w:b/>
        <w:bCs/>
        <w:color w:val="000000" w:themeColor="text1"/>
      </w:rPr>
      <w:tblPr/>
      <w:tcPr>
        <w:shd w:val="clear" w:color="auto" w:fill="F9E1A3" w:themeFill="accent4" w:themeFillTint="66"/>
      </w:tcPr>
    </w:tblStylePr>
    <w:tblStylePr w:type="firstCol">
      <w:rPr>
        <w:color w:val="FFFFFF" w:themeColor="background1"/>
      </w:rPr>
      <w:tblPr/>
      <w:tcPr>
        <w:shd w:val="clear" w:color="auto" w:fill="BD8B0B" w:themeFill="accent4" w:themeFillShade="BF"/>
      </w:tcPr>
    </w:tblStylePr>
    <w:tblStylePr w:type="lastCol">
      <w:rPr>
        <w:color w:val="FFFFFF" w:themeColor="background1"/>
      </w:rPr>
      <w:tblPr/>
      <w:tcPr>
        <w:shd w:val="clear" w:color="auto" w:fill="BD8B0B" w:themeFill="accent4" w:themeFillShade="BF"/>
      </w:tcPr>
    </w:tblStylePr>
    <w:tblStylePr w:type="band1Vert">
      <w:tblPr/>
      <w:tcPr>
        <w:shd w:val="clear" w:color="auto" w:fill="F8DA8D" w:themeFill="accent4" w:themeFillTint="7F"/>
      </w:tcPr>
    </w:tblStylePr>
    <w:tblStylePr w:type="band1Horz">
      <w:tblPr/>
      <w:tcPr>
        <w:shd w:val="clear" w:color="auto" w:fill="F8DA8D" w:themeFill="accent4" w:themeFillTint="7F"/>
      </w:tcPr>
    </w:tblStylePr>
  </w:style>
  <w:style w:type="table" w:styleId="ColorfulGrid-Accent5">
    <w:name w:val="Colorful Grid Accent 5"/>
    <w:basedOn w:val="TableNormal"/>
    <w:unhideWhenUsed/>
    <w:rsid w:val="00B36B4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F5F5" w:themeFill="accent5" w:themeFillTint="33"/>
    </w:tcPr>
    <w:tblStylePr w:type="firstRow">
      <w:rPr>
        <w:b/>
        <w:bCs/>
      </w:rPr>
      <w:tblPr/>
      <w:tcPr>
        <w:shd w:val="clear" w:color="auto" w:fill="8AEBEC" w:themeFill="accent5" w:themeFillTint="66"/>
      </w:tcPr>
    </w:tblStylePr>
    <w:tblStylePr w:type="lastRow">
      <w:rPr>
        <w:b/>
        <w:bCs/>
        <w:color w:val="000000" w:themeColor="text1"/>
      </w:rPr>
      <w:tblPr/>
      <w:tcPr>
        <w:shd w:val="clear" w:color="auto" w:fill="8AEBEC" w:themeFill="accent5" w:themeFillTint="66"/>
      </w:tcPr>
    </w:tblStylePr>
    <w:tblStylePr w:type="firstCol">
      <w:rPr>
        <w:color w:val="FFFFFF" w:themeColor="background1"/>
      </w:rPr>
      <w:tblPr/>
      <w:tcPr>
        <w:shd w:val="clear" w:color="auto" w:fill="126D6E" w:themeFill="accent5" w:themeFillShade="BF"/>
      </w:tcPr>
    </w:tblStylePr>
    <w:tblStylePr w:type="lastCol">
      <w:rPr>
        <w:color w:val="FFFFFF" w:themeColor="background1"/>
      </w:rPr>
      <w:tblPr/>
      <w:tcPr>
        <w:shd w:val="clear" w:color="auto" w:fill="126D6E" w:themeFill="accent5" w:themeFillShade="BF"/>
      </w:tcPr>
    </w:tblStylePr>
    <w:tblStylePr w:type="band1Vert">
      <w:tblPr/>
      <w:tcPr>
        <w:shd w:val="clear" w:color="auto" w:fill="6DE6E7" w:themeFill="accent5" w:themeFillTint="7F"/>
      </w:tcPr>
    </w:tblStylePr>
    <w:tblStylePr w:type="band1Horz">
      <w:tblPr/>
      <w:tcPr>
        <w:shd w:val="clear" w:color="auto" w:fill="6DE6E7" w:themeFill="accent5" w:themeFillTint="7F"/>
      </w:tcPr>
    </w:tblStylePr>
  </w:style>
  <w:style w:type="table" w:styleId="ColorfulGrid-Accent6">
    <w:name w:val="Colorful Grid Accent 6"/>
    <w:basedOn w:val="TableNormal"/>
    <w:unhideWhenUsed/>
    <w:rsid w:val="00B36B4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F7E5" w:themeFill="accent6" w:themeFillTint="33"/>
    </w:tcPr>
    <w:tblStylePr w:type="firstRow">
      <w:rPr>
        <w:b/>
        <w:bCs/>
      </w:rPr>
      <w:tblPr/>
      <w:tcPr>
        <w:shd w:val="clear" w:color="auto" w:fill="8EEFCC" w:themeFill="accent6" w:themeFillTint="66"/>
      </w:tcPr>
    </w:tblStylePr>
    <w:tblStylePr w:type="lastRow">
      <w:rPr>
        <w:b/>
        <w:bCs/>
        <w:color w:val="000000" w:themeColor="text1"/>
      </w:rPr>
      <w:tblPr/>
      <w:tcPr>
        <w:shd w:val="clear" w:color="auto" w:fill="8EEFCC" w:themeFill="accent6" w:themeFillTint="66"/>
      </w:tcPr>
    </w:tblStylePr>
    <w:tblStylePr w:type="firstCol">
      <w:rPr>
        <w:color w:val="FFFFFF" w:themeColor="background1"/>
      </w:rPr>
      <w:tblPr/>
      <w:tcPr>
        <w:shd w:val="clear" w:color="auto" w:fill="117C55" w:themeFill="accent6" w:themeFillShade="BF"/>
      </w:tcPr>
    </w:tblStylePr>
    <w:tblStylePr w:type="lastCol">
      <w:rPr>
        <w:color w:val="FFFFFF" w:themeColor="background1"/>
      </w:rPr>
      <w:tblPr/>
      <w:tcPr>
        <w:shd w:val="clear" w:color="auto" w:fill="117C55" w:themeFill="accent6" w:themeFillShade="BF"/>
      </w:tcPr>
    </w:tblStylePr>
    <w:tblStylePr w:type="band1Vert">
      <w:tblPr/>
      <w:tcPr>
        <w:shd w:val="clear" w:color="auto" w:fill="72EBC0" w:themeFill="accent6" w:themeFillTint="7F"/>
      </w:tcPr>
    </w:tblStylePr>
    <w:tblStylePr w:type="band1Horz">
      <w:tblPr/>
      <w:tcPr>
        <w:shd w:val="clear" w:color="auto" w:fill="72EBC0" w:themeFill="accent6" w:themeFillTint="7F"/>
      </w:tcPr>
    </w:tblStylePr>
  </w:style>
  <w:style w:type="table" w:styleId="ColorfulList">
    <w:name w:val="Colorful List"/>
    <w:basedOn w:val="TableNormal"/>
    <w:unhideWhenUsed/>
    <w:rsid w:val="00B36B4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nhideWhenUsed/>
    <w:rsid w:val="00B36B45"/>
    <w:pPr>
      <w:spacing w:after="0" w:line="240" w:lineRule="auto"/>
    </w:pPr>
    <w:rPr>
      <w:color w:val="000000" w:themeColor="text1"/>
    </w:rPr>
    <w:tblPr>
      <w:tblStyleRowBandSize w:val="1"/>
      <w:tblStyleColBandSize w:val="1"/>
    </w:tblPr>
    <w:tcPr>
      <w:shd w:val="clear" w:color="auto" w:fill="DAE9F9" w:themeFill="accent1"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8F1" w:themeFill="accent1" w:themeFillTint="3F"/>
      </w:tcPr>
    </w:tblStylePr>
    <w:tblStylePr w:type="band1Horz">
      <w:tblPr/>
      <w:tcPr>
        <w:shd w:val="clear" w:color="auto" w:fill="B4D3F3" w:themeFill="accent1" w:themeFillTint="33"/>
      </w:tcPr>
    </w:tblStylePr>
  </w:style>
  <w:style w:type="table" w:styleId="ColorfulList-Accent2">
    <w:name w:val="Colorful List Accent 2"/>
    <w:basedOn w:val="TableNormal"/>
    <w:unhideWhenUsed/>
    <w:rsid w:val="00B36B45"/>
    <w:pPr>
      <w:spacing w:after="0" w:line="240" w:lineRule="auto"/>
    </w:pPr>
    <w:rPr>
      <w:color w:val="000000" w:themeColor="text1"/>
    </w:rPr>
    <w:tblPr>
      <w:tblStyleRowBandSize w:val="1"/>
      <w:tblStyleColBandSize w:val="1"/>
    </w:tblPr>
    <w:tcPr>
      <w:shd w:val="clear" w:color="auto" w:fill="FBE9E9" w:themeFill="accent2"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C9C8" w:themeFill="accent2" w:themeFillTint="3F"/>
      </w:tcPr>
    </w:tblStylePr>
    <w:tblStylePr w:type="band1Horz">
      <w:tblPr/>
      <w:tcPr>
        <w:shd w:val="clear" w:color="auto" w:fill="F6D3D2" w:themeFill="accent2" w:themeFillTint="33"/>
      </w:tcPr>
    </w:tblStylePr>
  </w:style>
  <w:style w:type="table" w:styleId="ColorfulList-Accent3">
    <w:name w:val="Colorful List Accent 3"/>
    <w:basedOn w:val="TableNormal"/>
    <w:unhideWhenUsed/>
    <w:rsid w:val="00B36B45"/>
    <w:pPr>
      <w:spacing w:after="0" w:line="240" w:lineRule="auto"/>
    </w:pPr>
    <w:rPr>
      <w:color w:val="000000" w:themeColor="text1"/>
    </w:rPr>
    <w:tblPr>
      <w:tblStyleRowBandSize w:val="1"/>
      <w:tblStyleColBandSize w:val="1"/>
    </w:tblPr>
    <w:tcPr>
      <w:shd w:val="clear" w:color="auto" w:fill="EEF0F1" w:themeFill="accent3" w:themeFillTint="19"/>
    </w:tcPr>
    <w:tblStylePr w:type="firstRow">
      <w:rPr>
        <w:b/>
        <w:bCs/>
        <w:color w:val="FFFFFF" w:themeColor="background1"/>
      </w:rPr>
      <w:tblPr/>
      <w:tcPr>
        <w:tcBorders>
          <w:bottom w:val="single" w:sz="12" w:space="0" w:color="FFFFFF" w:themeColor="background1"/>
        </w:tcBorders>
        <w:shd w:val="clear" w:color="auto" w:fill="CA940C" w:themeFill="accent4" w:themeFillShade="CC"/>
      </w:tcPr>
    </w:tblStylePr>
    <w:tblStylePr w:type="lastRow">
      <w:rPr>
        <w:b/>
        <w:bCs/>
        <w:color w:val="CA94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9DD" w:themeFill="accent3" w:themeFillTint="3F"/>
      </w:tcPr>
    </w:tblStylePr>
    <w:tblStylePr w:type="band1Horz">
      <w:tblPr/>
      <w:tcPr>
        <w:shd w:val="clear" w:color="auto" w:fill="DDE0E3" w:themeFill="accent3" w:themeFillTint="33"/>
      </w:tcPr>
    </w:tblStylePr>
  </w:style>
  <w:style w:type="table" w:styleId="ColorfulList-Accent4">
    <w:name w:val="Colorful List Accent 4"/>
    <w:basedOn w:val="TableNormal"/>
    <w:unhideWhenUsed/>
    <w:rsid w:val="00B36B45"/>
    <w:pPr>
      <w:spacing w:after="0" w:line="240" w:lineRule="auto"/>
    </w:pPr>
    <w:rPr>
      <w:color w:val="000000" w:themeColor="text1"/>
    </w:rPr>
    <w:tblPr>
      <w:tblStyleRowBandSize w:val="1"/>
      <w:tblStyleColBandSize w:val="1"/>
    </w:tblPr>
    <w:tcPr>
      <w:shd w:val="clear" w:color="auto" w:fill="FDF7E8" w:themeFill="accent4" w:themeFillTint="19"/>
    </w:tcPr>
    <w:tblStylePr w:type="firstRow">
      <w:rPr>
        <w:b/>
        <w:bCs/>
        <w:color w:val="FFFFFF" w:themeColor="background1"/>
      </w:rPr>
      <w:tblPr/>
      <w:tcPr>
        <w:tcBorders>
          <w:bottom w:val="single" w:sz="12" w:space="0" w:color="FFFFFF" w:themeColor="background1"/>
        </w:tcBorders>
        <w:shd w:val="clear" w:color="auto" w:fill="48525A" w:themeFill="accent3" w:themeFillShade="CC"/>
      </w:tcPr>
    </w:tblStylePr>
    <w:tblStylePr w:type="lastRow">
      <w:rPr>
        <w:b/>
        <w:bCs/>
        <w:color w:val="48525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CC6" w:themeFill="accent4" w:themeFillTint="3F"/>
      </w:tcPr>
    </w:tblStylePr>
    <w:tblStylePr w:type="band1Horz">
      <w:tblPr/>
      <w:tcPr>
        <w:shd w:val="clear" w:color="auto" w:fill="FCF0D1" w:themeFill="accent4" w:themeFillTint="33"/>
      </w:tcPr>
    </w:tblStylePr>
  </w:style>
  <w:style w:type="table" w:styleId="ColorfulList-Accent5">
    <w:name w:val="Colorful List Accent 5"/>
    <w:basedOn w:val="TableNormal"/>
    <w:unhideWhenUsed/>
    <w:rsid w:val="00B36B45"/>
    <w:pPr>
      <w:spacing w:after="0" w:line="240" w:lineRule="auto"/>
    </w:pPr>
    <w:rPr>
      <w:color w:val="000000" w:themeColor="text1"/>
    </w:rPr>
    <w:tblPr>
      <w:tblStyleRowBandSize w:val="1"/>
      <w:tblStyleColBandSize w:val="1"/>
    </w:tblPr>
    <w:tcPr>
      <w:shd w:val="clear" w:color="auto" w:fill="E2FAFA" w:themeFill="accent5" w:themeFillTint="19"/>
    </w:tcPr>
    <w:tblStylePr w:type="firstRow">
      <w:rPr>
        <w:b/>
        <w:bCs/>
        <w:color w:val="FFFFFF" w:themeColor="background1"/>
      </w:rPr>
      <w:tblPr/>
      <w:tcPr>
        <w:tcBorders>
          <w:bottom w:val="single" w:sz="12" w:space="0" w:color="FFFFFF" w:themeColor="background1"/>
        </w:tcBorders>
        <w:shd w:val="clear" w:color="auto" w:fill="12845B" w:themeFill="accent6" w:themeFillShade="CC"/>
      </w:tcPr>
    </w:tblStylePr>
    <w:tblStylePr w:type="lastRow">
      <w:rPr>
        <w:b/>
        <w:bCs/>
        <w:color w:val="12845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F2F3" w:themeFill="accent5" w:themeFillTint="3F"/>
      </w:tcPr>
    </w:tblStylePr>
    <w:tblStylePr w:type="band1Horz">
      <w:tblPr/>
      <w:tcPr>
        <w:shd w:val="clear" w:color="auto" w:fill="C4F5F5" w:themeFill="accent5" w:themeFillTint="33"/>
      </w:tcPr>
    </w:tblStylePr>
  </w:style>
  <w:style w:type="table" w:styleId="ColorfulList-Accent6">
    <w:name w:val="Colorful List Accent 6"/>
    <w:basedOn w:val="TableNormal"/>
    <w:unhideWhenUsed/>
    <w:rsid w:val="00B36B45"/>
    <w:pPr>
      <w:spacing w:after="0" w:line="240" w:lineRule="auto"/>
    </w:pPr>
    <w:rPr>
      <w:color w:val="000000" w:themeColor="text1"/>
    </w:rPr>
    <w:tblPr>
      <w:tblStyleRowBandSize w:val="1"/>
      <w:tblStyleColBandSize w:val="1"/>
    </w:tblPr>
    <w:tcPr>
      <w:shd w:val="clear" w:color="auto" w:fill="E3FBF2" w:themeFill="accent6" w:themeFillTint="19"/>
    </w:tcPr>
    <w:tblStylePr w:type="firstRow">
      <w:rPr>
        <w:b/>
        <w:bCs/>
        <w:color w:val="FFFFFF" w:themeColor="background1"/>
      </w:rPr>
      <w:tblPr/>
      <w:tcPr>
        <w:tcBorders>
          <w:bottom w:val="single" w:sz="12" w:space="0" w:color="FFFFFF" w:themeColor="background1"/>
        </w:tcBorders>
        <w:shd w:val="clear" w:color="auto" w:fill="137576" w:themeFill="accent5" w:themeFillShade="CC"/>
      </w:tcPr>
    </w:tblStylePr>
    <w:tblStylePr w:type="lastRow">
      <w:rPr>
        <w:b/>
        <w:bCs/>
        <w:color w:val="13757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5DF" w:themeFill="accent6" w:themeFillTint="3F"/>
      </w:tcPr>
    </w:tblStylePr>
    <w:tblStylePr w:type="band1Horz">
      <w:tblPr/>
      <w:tcPr>
        <w:shd w:val="clear" w:color="auto" w:fill="C6F7E5" w:themeFill="accent6" w:themeFillTint="33"/>
      </w:tcPr>
    </w:tblStylePr>
  </w:style>
  <w:style w:type="table" w:styleId="ColorfulShading">
    <w:name w:val="Colorful Shading"/>
    <w:basedOn w:val="TableNormal"/>
    <w:unhideWhenUsed/>
    <w:rsid w:val="00B36B45"/>
    <w:pPr>
      <w:spacing w:after="0" w:line="240" w:lineRule="auto"/>
    </w:pPr>
    <w:rPr>
      <w:color w:val="000000" w:themeColor="text1"/>
    </w:rPr>
    <w:tblPr>
      <w:tblStyleRowBandSize w:val="1"/>
      <w:tblStyleColBandSize w:val="1"/>
      <w:tblBorders>
        <w:top w:val="single" w:sz="24" w:space="0" w:color="D02B2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nhideWhenUsed/>
    <w:rsid w:val="00B36B45"/>
    <w:pPr>
      <w:spacing w:after="0" w:line="240" w:lineRule="auto"/>
    </w:pPr>
    <w:rPr>
      <w:color w:val="000000" w:themeColor="text1"/>
    </w:rPr>
    <w:tblPr>
      <w:tblStyleRowBandSize w:val="1"/>
      <w:tblStyleColBandSize w:val="1"/>
      <w:tblBorders>
        <w:top w:val="single" w:sz="24" w:space="0" w:color="D02B27" w:themeColor="accent2"/>
        <w:left w:val="single" w:sz="4" w:space="0" w:color="0B2949" w:themeColor="accent1"/>
        <w:bottom w:val="single" w:sz="4" w:space="0" w:color="0B2949" w:themeColor="accent1"/>
        <w:right w:val="single" w:sz="4" w:space="0" w:color="0B2949" w:themeColor="accent1"/>
        <w:insideH w:val="single" w:sz="4" w:space="0" w:color="FFFFFF" w:themeColor="background1"/>
        <w:insideV w:val="single" w:sz="4" w:space="0" w:color="FFFFFF" w:themeColor="background1"/>
      </w:tblBorders>
    </w:tblPr>
    <w:tcPr>
      <w:shd w:val="clear" w:color="auto" w:fill="DAE9F9" w:themeFill="accent1"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82B" w:themeFill="accent1" w:themeFillShade="99"/>
      </w:tcPr>
    </w:tblStylePr>
    <w:tblStylePr w:type="firstCol">
      <w:rPr>
        <w:color w:val="FFFFFF" w:themeColor="background1"/>
      </w:rPr>
      <w:tblPr/>
      <w:tcPr>
        <w:tcBorders>
          <w:top w:val="nil"/>
          <w:left w:val="nil"/>
          <w:bottom w:val="nil"/>
          <w:right w:val="nil"/>
          <w:insideH w:val="single" w:sz="4" w:space="0" w:color="06182B" w:themeColor="accent1" w:themeShade="99"/>
          <w:insideV w:val="nil"/>
        </w:tcBorders>
        <w:shd w:val="clear" w:color="auto" w:fill="06182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82B" w:themeFill="accent1" w:themeFillShade="99"/>
      </w:tcPr>
    </w:tblStylePr>
    <w:tblStylePr w:type="band1Vert">
      <w:tblPr/>
      <w:tcPr>
        <w:shd w:val="clear" w:color="auto" w:fill="6AA7E8" w:themeFill="accent1" w:themeFillTint="66"/>
      </w:tcPr>
    </w:tblStylePr>
    <w:tblStylePr w:type="band1Horz">
      <w:tblPr/>
      <w:tcPr>
        <w:shd w:val="clear" w:color="auto" w:fill="4692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nhideWhenUsed/>
    <w:rsid w:val="00B36B45"/>
    <w:pPr>
      <w:spacing w:after="0" w:line="240" w:lineRule="auto"/>
    </w:pPr>
    <w:rPr>
      <w:color w:val="000000" w:themeColor="text1"/>
    </w:rPr>
    <w:tblPr>
      <w:tblStyleRowBandSize w:val="1"/>
      <w:tblStyleColBandSize w:val="1"/>
      <w:tblBorders>
        <w:top w:val="single" w:sz="24" w:space="0" w:color="D02B27" w:themeColor="accent2"/>
        <w:left w:val="single" w:sz="4" w:space="0" w:color="D02B27" w:themeColor="accent2"/>
        <w:bottom w:val="single" w:sz="4" w:space="0" w:color="D02B27" w:themeColor="accent2"/>
        <w:right w:val="single" w:sz="4" w:space="0" w:color="D02B27" w:themeColor="accent2"/>
        <w:insideH w:val="single" w:sz="4" w:space="0" w:color="FFFFFF" w:themeColor="background1"/>
        <w:insideV w:val="single" w:sz="4" w:space="0" w:color="FFFFFF" w:themeColor="background1"/>
      </w:tblBorders>
    </w:tblPr>
    <w:tcPr>
      <w:shd w:val="clear" w:color="auto" w:fill="FBE9E9" w:themeFill="accent2"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917" w:themeFill="accent2" w:themeFillShade="99"/>
      </w:tcPr>
    </w:tblStylePr>
    <w:tblStylePr w:type="firstCol">
      <w:rPr>
        <w:color w:val="FFFFFF" w:themeColor="background1"/>
      </w:rPr>
      <w:tblPr/>
      <w:tcPr>
        <w:tcBorders>
          <w:top w:val="nil"/>
          <w:left w:val="nil"/>
          <w:bottom w:val="nil"/>
          <w:right w:val="nil"/>
          <w:insideH w:val="single" w:sz="4" w:space="0" w:color="7C1917" w:themeColor="accent2" w:themeShade="99"/>
          <w:insideV w:val="nil"/>
        </w:tcBorders>
        <w:shd w:val="clear" w:color="auto" w:fill="7C191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1917" w:themeFill="accent2" w:themeFillShade="99"/>
      </w:tcPr>
    </w:tblStylePr>
    <w:tblStylePr w:type="band1Vert">
      <w:tblPr/>
      <w:tcPr>
        <w:shd w:val="clear" w:color="auto" w:fill="EEA7A6" w:themeFill="accent2" w:themeFillTint="66"/>
      </w:tcPr>
    </w:tblStylePr>
    <w:tblStylePr w:type="band1Horz">
      <w:tblPr/>
      <w:tcPr>
        <w:shd w:val="clear" w:color="auto" w:fill="EA929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nhideWhenUsed/>
    <w:rsid w:val="00B36B45"/>
    <w:pPr>
      <w:spacing w:after="0" w:line="240" w:lineRule="auto"/>
    </w:pPr>
    <w:rPr>
      <w:color w:val="000000" w:themeColor="text1"/>
    </w:rPr>
    <w:tblPr>
      <w:tblStyleRowBandSize w:val="1"/>
      <w:tblStyleColBandSize w:val="1"/>
      <w:tblBorders>
        <w:top w:val="single" w:sz="24" w:space="0" w:color="F1B51C" w:themeColor="accent4"/>
        <w:left w:val="single" w:sz="4" w:space="0" w:color="5B6771" w:themeColor="accent3"/>
        <w:bottom w:val="single" w:sz="4" w:space="0" w:color="5B6771" w:themeColor="accent3"/>
        <w:right w:val="single" w:sz="4" w:space="0" w:color="5B6771" w:themeColor="accent3"/>
        <w:insideH w:val="single" w:sz="4" w:space="0" w:color="FFFFFF" w:themeColor="background1"/>
        <w:insideV w:val="single" w:sz="4" w:space="0" w:color="FFFFFF" w:themeColor="background1"/>
      </w:tblBorders>
    </w:tblPr>
    <w:tcPr>
      <w:shd w:val="clear" w:color="auto" w:fill="EEF0F1" w:themeFill="accent3" w:themeFillTint="19"/>
    </w:tcPr>
    <w:tblStylePr w:type="firstRow">
      <w:rPr>
        <w:b/>
        <w:bCs/>
      </w:rPr>
      <w:tblPr/>
      <w:tcPr>
        <w:tcBorders>
          <w:top w:val="nil"/>
          <w:left w:val="nil"/>
          <w:bottom w:val="single" w:sz="24" w:space="0" w:color="F1B51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3D43" w:themeFill="accent3" w:themeFillShade="99"/>
      </w:tcPr>
    </w:tblStylePr>
    <w:tblStylePr w:type="firstCol">
      <w:rPr>
        <w:color w:val="FFFFFF" w:themeColor="background1"/>
      </w:rPr>
      <w:tblPr/>
      <w:tcPr>
        <w:tcBorders>
          <w:top w:val="nil"/>
          <w:left w:val="nil"/>
          <w:bottom w:val="nil"/>
          <w:right w:val="nil"/>
          <w:insideH w:val="single" w:sz="4" w:space="0" w:color="363D43" w:themeColor="accent3" w:themeShade="99"/>
          <w:insideV w:val="nil"/>
        </w:tcBorders>
        <w:shd w:val="clear" w:color="auto" w:fill="363D4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63D43" w:themeFill="accent3" w:themeFillShade="99"/>
      </w:tcPr>
    </w:tblStylePr>
    <w:tblStylePr w:type="band1Vert">
      <w:tblPr/>
      <w:tcPr>
        <w:shd w:val="clear" w:color="auto" w:fill="BBC2C8" w:themeFill="accent3" w:themeFillTint="66"/>
      </w:tcPr>
    </w:tblStylePr>
    <w:tblStylePr w:type="band1Horz">
      <w:tblPr/>
      <w:tcPr>
        <w:shd w:val="clear" w:color="auto" w:fill="AAB3BB" w:themeFill="accent3" w:themeFillTint="7F"/>
      </w:tcPr>
    </w:tblStylePr>
  </w:style>
  <w:style w:type="table" w:styleId="ColorfulShading-Accent4">
    <w:name w:val="Colorful Shading Accent 4"/>
    <w:basedOn w:val="TableNormal"/>
    <w:unhideWhenUsed/>
    <w:rsid w:val="00B36B45"/>
    <w:pPr>
      <w:spacing w:after="0" w:line="240" w:lineRule="auto"/>
    </w:pPr>
    <w:rPr>
      <w:color w:val="000000" w:themeColor="text1"/>
    </w:rPr>
    <w:tblPr>
      <w:tblStyleRowBandSize w:val="1"/>
      <w:tblStyleColBandSize w:val="1"/>
      <w:tblBorders>
        <w:top w:val="single" w:sz="24" w:space="0" w:color="5B6771" w:themeColor="accent3"/>
        <w:left w:val="single" w:sz="4" w:space="0" w:color="F1B51C" w:themeColor="accent4"/>
        <w:bottom w:val="single" w:sz="4" w:space="0" w:color="F1B51C" w:themeColor="accent4"/>
        <w:right w:val="single" w:sz="4" w:space="0" w:color="F1B51C" w:themeColor="accent4"/>
        <w:insideH w:val="single" w:sz="4" w:space="0" w:color="FFFFFF" w:themeColor="background1"/>
        <w:insideV w:val="single" w:sz="4" w:space="0" w:color="FFFFFF" w:themeColor="background1"/>
      </w:tblBorders>
    </w:tblPr>
    <w:tcPr>
      <w:shd w:val="clear" w:color="auto" w:fill="FDF7E8" w:themeFill="accent4" w:themeFillTint="19"/>
    </w:tcPr>
    <w:tblStylePr w:type="firstRow">
      <w:rPr>
        <w:b/>
        <w:bCs/>
      </w:rPr>
      <w:tblPr/>
      <w:tcPr>
        <w:tcBorders>
          <w:top w:val="nil"/>
          <w:left w:val="nil"/>
          <w:bottom w:val="single" w:sz="24" w:space="0" w:color="5B677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6F09" w:themeFill="accent4" w:themeFillShade="99"/>
      </w:tcPr>
    </w:tblStylePr>
    <w:tblStylePr w:type="firstCol">
      <w:rPr>
        <w:color w:val="FFFFFF" w:themeColor="background1"/>
      </w:rPr>
      <w:tblPr/>
      <w:tcPr>
        <w:tcBorders>
          <w:top w:val="nil"/>
          <w:left w:val="nil"/>
          <w:bottom w:val="nil"/>
          <w:right w:val="nil"/>
          <w:insideH w:val="single" w:sz="4" w:space="0" w:color="976F09" w:themeColor="accent4" w:themeShade="99"/>
          <w:insideV w:val="nil"/>
        </w:tcBorders>
        <w:shd w:val="clear" w:color="auto" w:fill="976F0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76F09" w:themeFill="accent4" w:themeFillShade="99"/>
      </w:tcPr>
    </w:tblStylePr>
    <w:tblStylePr w:type="band1Vert">
      <w:tblPr/>
      <w:tcPr>
        <w:shd w:val="clear" w:color="auto" w:fill="F9E1A3" w:themeFill="accent4" w:themeFillTint="66"/>
      </w:tcPr>
    </w:tblStylePr>
    <w:tblStylePr w:type="band1Horz">
      <w:tblPr/>
      <w:tcPr>
        <w:shd w:val="clear" w:color="auto" w:fill="F8DA8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nhideWhenUsed/>
    <w:rsid w:val="00B36B45"/>
    <w:pPr>
      <w:spacing w:after="0" w:line="240" w:lineRule="auto"/>
    </w:pPr>
    <w:rPr>
      <w:color w:val="000000" w:themeColor="text1"/>
    </w:rPr>
    <w:tblPr>
      <w:tblStyleRowBandSize w:val="1"/>
      <w:tblStyleColBandSize w:val="1"/>
      <w:tblBorders>
        <w:top w:val="single" w:sz="24" w:space="0" w:color="17A673" w:themeColor="accent6"/>
        <w:left w:val="single" w:sz="4" w:space="0" w:color="189394" w:themeColor="accent5"/>
        <w:bottom w:val="single" w:sz="4" w:space="0" w:color="189394" w:themeColor="accent5"/>
        <w:right w:val="single" w:sz="4" w:space="0" w:color="189394" w:themeColor="accent5"/>
        <w:insideH w:val="single" w:sz="4" w:space="0" w:color="FFFFFF" w:themeColor="background1"/>
        <w:insideV w:val="single" w:sz="4" w:space="0" w:color="FFFFFF" w:themeColor="background1"/>
      </w:tblBorders>
    </w:tblPr>
    <w:tcPr>
      <w:shd w:val="clear" w:color="auto" w:fill="E2FAFA" w:themeFill="accent5" w:themeFillTint="19"/>
    </w:tcPr>
    <w:tblStylePr w:type="firstRow">
      <w:rPr>
        <w:b/>
        <w:bCs/>
      </w:rPr>
      <w:tblPr/>
      <w:tcPr>
        <w:tcBorders>
          <w:top w:val="nil"/>
          <w:left w:val="nil"/>
          <w:bottom w:val="single" w:sz="24" w:space="0" w:color="17A6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5758" w:themeFill="accent5" w:themeFillShade="99"/>
      </w:tcPr>
    </w:tblStylePr>
    <w:tblStylePr w:type="firstCol">
      <w:rPr>
        <w:color w:val="FFFFFF" w:themeColor="background1"/>
      </w:rPr>
      <w:tblPr/>
      <w:tcPr>
        <w:tcBorders>
          <w:top w:val="nil"/>
          <w:left w:val="nil"/>
          <w:bottom w:val="nil"/>
          <w:right w:val="nil"/>
          <w:insideH w:val="single" w:sz="4" w:space="0" w:color="0E5758" w:themeColor="accent5" w:themeShade="99"/>
          <w:insideV w:val="nil"/>
        </w:tcBorders>
        <w:shd w:val="clear" w:color="auto" w:fill="0E575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5758" w:themeFill="accent5" w:themeFillShade="99"/>
      </w:tcPr>
    </w:tblStylePr>
    <w:tblStylePr w:type="band1Vert">
      <w:tblPr/>
      <w:tcPr>
        <w:shd w:val="clear" w:color="auto" w:fill="8AEBEC" w:themeFill="accent5" w:themeFillTint="66"/>
      </w:tcPr>
    </w:tblStylePr>
    <w:tblStylePr w:type="band1Horz">
      <w:tblPr/>
      <w:tcPr>
        <w:shd w:val="clear" w:color="auto" w:fill="6DE6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nhideWhenUsed/>
    <w:rsid w:val="00B36B45"/>
    <w:pPr>
      <w:spacing w:after="0" w:line="240" w:lineRule="auto"/>
    </w:pPr>
    <w:rPr>
      <w:color w:val="000000" w:themeColor="text1"/>
    </w:rPr>
    <w:tblPr>
      <w:tblStyleRowBandSize w:val="1"/>
      <w:tblStyleColBandSize w:val="1"/>
      <w:tblBorders>
        <w:top w:val="single" w:sz="24" w:space="0" w:color="189394" w:themeColor="accent5"/>
        <w:left w:val="single" w:sz="4" w:space="0" w:color="17A673" w:themeColor="accent6"/>
        <w:bottom w:val="single" w:sz="4" w:space="0" w:color="17A673" w:themeColor="accent6"/>
        <w:right w:val="single" w:sz="4" w:space="0" w:color="17A673" w:themeColor="accent6"/>
        <w:insideH w:val="single" w:sz="4" w:space="0" w:color="FFFFFF" w:themeColor="background1"/>
        <w:insideV w:val="single" w:sz="4" w:space="0" w:color="FFFFFF" w:themeColor="background1"/>
      </w:tblBorders>
    </w:tblPr>
    <w:tcPr>
      <w:shd w:val="clear" w:color="auto" w:fill="E3FBF2" w:themeFill="accent6" w:themeFillTint="19"/>
    </w:tcPr>
    <w:tblStylePr w:type="firstRow">
      <w:rPr>
        <w:b/>
        <w:bCs/>
      </w:rPr>
      <w:tblPr/>
      <w:tcPr>
        <w:tcBorders>
          <w:top w:val="nil"/>
          <w:left w:val="nil"/>
          <w:bottom w:val="single" w:sz="24" w:space="0" w:color="18939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344" w:themeFill="accent6" w:themeFillShade="99"/>
      </w:tcPr>
    </w:tblStylePr>
    <w:tblStylePr w:type="firstCol">
      <w:rPr>
        <w:color w:val="FFFFFF" w:themeColor="background1"/>
      </w:rPr>
      <w:tblPr/>
      <w:tcPr>
        <w:tcBorders>
          <w:top w:val="nil"/>
          <w:left w:val="nil"/>
          <w:bottom w:val="nil"/>
          <w:right w:val="nil"/>
          <w:insideH w:val="single" w:sz="4" w:space="0" w:color="0D6344" w:themeColor="accent6" w:themeShade="99"/>
          <w:insideV w:val="nil"/>
        </w:tcBorders>
        <w:shd w:val="clear" w:color="auto" w:fill="0D634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D6344" w:themeFill="accent6" w:themeFillShade="99"/>
      </w:tcPr>
    </w:tblStylePr>
    <w:tblStylePr w:type="band1Vert">
      <w:tblPr/>
      <w:tcPr>
        <w:shd w:val="clear" w:color="auto" w:fill="8EEFCC" w:themeFill="accent6" w:themeFillTint="66"/>
      </w:tcPr>
    </w:tblStylePr>
    <w:tblStylePr w:type="band1Horz">
      <w:tblPr/>
      <w:tcPr>
        <w:shd w:val="clear" w:color="auto" w:fill="72EBC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nhideWhenUsed/>
    <w:rsid w:val="00B36B4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nhideWhenUsed/>
    <w:rsid w:val="00B36B45"/>
    <w:pPr>
      <w:spacing w:after="0" w:line="240" w:lineRule="auto"/>
    </w:pPr>
    <w:rPr>
      <w:color w:val="FFFFFF" w:themeColor="background1"/>
    </w:rPr>
    <w:tblPr>
      <w:tblStyleRowBandSize w:val="1"/>
      <w:tblStyleColBandSize w:val="1"/>
    </w:tblPr>
    <w:tcPr>
      <w:shd w:val="clear" w:color="auto" w:fill="0B294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42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81E3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81E36" w:themeFill="accent1" w:themeFillShade="BF"/>
      </w:tcPr>
    </w:tblStylePr>
    <w:tblStylePr w:type="band1Vert">
      <w:tblPr/>
      <w:tcPr>
        <w:tcBorders>
          <w:top w:val="nil"/>
          <w:left w:val="nil"/>
          <w:bottom w:val="nil"/>
          <w:right w:val="nil"/>
          <w:insideH w:val="nil"/>
          <w:insideV w:val="nil"/>
        </w:tcBorders>
        <w:shd w:val="clear" w:color="auto" w:fill="081E36" w:themeFill="accent1" w:themeFillShade="BF"/>
      </w:tcPr>
    </w:tblStylePr>
    <w:tblStylePr w:type="band1Horz">
      <w:tblPr/>
      <w:tcPr>
        <w:tcBorders>
          <w:top w:val="nil"/>
          <w:left w:val="nil"/>
          <w:bottom w:val="nil"/>
          <w:right w:val="nil"/>
          <w:insideH w:val="nil"/>
          <w:insideV w:val="nil"/>
        </w:tcBorders>
        <w:shd w:val="clear" w:color="auto" w:fill="081E36" w:themeFill="accent1" w:themeFillShade="BF"/>
      </w:tcPr>
    </w:tblStylePr>
  </w:style>
  <w:style w:type="table" w:styleId="DarkList-Accent2">
    <w:name w:val="Dark List Accent 2"/>
    <w:basedOn w:val="TableNormal"/>
    <w:unhideWhenUsed/>
    <w:rsid w:val="00B36B45"/>
    <w:pPr>
      <w:spacing w:after="0" w:line="240" w:lineRule="auto"/>
    </w:pPr>
    <w:rPr>
      <w:color w:val="FFFFFF" w:themeColor="background1"/>
    </w:rPr>
    <w:tblPr>
      <w:tblStyleRowBandSize w:val="1"/>
      <w:tblStyleColBandSize w:val="1"/>
    </w:tblPr>
    <w:tcPr>
      <w:shd w:val="clear" w:color="auto" w:fill="D02B2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5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201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201D" w:themeFill="accent2" w:themeFillShade="BF"/>
      </w:tcPr>
    </w:tblStylePr>
    <w:tblStylePr w:type="band1Vert">
      <w:tblPr/>
      <w:tcPr>
        <w:tcBorders>
          <w:top w:val="nil"/>
          <w:left w:val="nil"/>
          <w:bottom w:val="nil"/>
          <w:right w:val="nil"/>
          <w:insideH w:val="nil"/>
          <w:insideV w:val="nil"/>
        </w:tcBorders>
        <w:shd w:val="clear" w:color="auto" w:fill="9B201D" w:themeFill="accent2" w:themeFillShade="BF"/>
      </w:tcPr>
    </w:tblStylePr>
    <w:tblStylePr w:type="band1Horz">
      <w:tblPr/>
      <w:tcPr>
        <w:tcBorders>
          <w:top w:val="nil"/>
          <w:left w:val="nil"/>
          <w:bottom w:val="nil"/>
          <w:right w:val="nil"/>
          <w:insideH w:val="nil"/>
          <w:insideV w:val="nil"/>
        </w:tcBorders>
        <w:shd w:val="clear" w:color="auto" w:fill="9B201D" w:themeFill="accent2" w:themeFillShade="BF"/>
      </w:tcPr>
    </w:tblStylePr>
  </w:style>
  <w:style w:type="table" w:styleId="DarkList-Accent3">
    <w:name w:val="Dark List Accent 3"/>
    <w:basedOn w:val="TableNormal"/>
    <w:unhideWhenUsed/>
    <w:rsid w:val="00B36B45"/>
    <w:pPr>
      <w:spacing w:after="0" w:line="240" w:lineRule="auto"/>
    </w:pPr>
    <w:rPr>
      <w:color w:val="FFFFFF" w:themeColor="background1"/>
    </w:rPr>
    <w:tblPr>
      <w:tblStyleRowBandSize w:val="1"/>
      <w:tblStyleColBandSize w:val="1"/>
    </w:tblPr>
    <w:tcPr>
      <w:shd w:val="clear" w:color="auto" w:fill="5B677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333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44D5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44D54" w:themeFill="accent3" w:themeFillShade="BF"/>
      </w:tcPr>
    </w:tblStylePr>
    <w:tblStylePr w:type="band1Vert">
      <w:tblPr/>
      <w:tcPr>
        <w:tcBorders>
          <w:top w:val="nil"/>
          <w:left w:val="nil"/>
          <w:bottom w:val="nil"/>
          <w:right w:val="nil"/>
          <w:insideH w:val="nil"/>
          <w:insideV w:val="nil"/>
        </w:tcBorders>
        <w:shd w:val="clear" w:color="auto" w:fill="444D54" w:themeFill="accent3" w:themeFillShade="BF"/>
      </w:tcPr>
    </w:tblStylePr>
    <w:tblStylePr w:type="band1Horz">
      <w:tblPr/>
      <w:tcPr>
        <w:tcBorders>
          <w:top w:val="nil"/>
          <w:left w:val="nil"/>
          <w:bottom w:val="nil"/>
          <w:right w:val="nil"/>
          <w:insideH w:val="nil"/>
          <w:insideV w:val="nil"/>
        </w:tcBorders>
        <w:shd w:val="clear" w:color="auto" w:fill="444D54" w:themeFill="accent3" w:themeFillShade="BF"/>
      </w:tcPr>
    </w:tblStylePr>
  </w:style>
  <w:style w:type="table" w:styleId="DarkList-Accent4">
    <w:name w:val="Dark List Accent 4"/>
    <w:basedOn w:val="TableNormal"/>
    <w:unhideWhenUsed/>
    <w:rsid w:val="00B36B45"/>
    <w:pPr>
      <w:spacing w:after="0" w:line="240" w:lineRule="auto"/>
    </w:pPr>
    <w:rPr>
      <w:color w:val="FFFFFF" w:themeColor="background1"/>
    </w:rPr>
    <w:tblPr>
      <w:tblStyleRowBandSize w:val="1"/>
      <w:tblStyleColBandSize w:val="1"/>
    </w:tblPr>
    <w:tcPr>
      <w:shd w:val="clear" w:color="auto" w:fill="F1B51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5C0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D8B0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D8B0B" w:themeFill="accent4" w:themeFillShade="BF"/>
      </w:tcPr>
    </w:tblStylePr>
    <w:tblStylePr w:type="band1Vert">
      <w:tblPr/>
      <w:tcPr>
        <w:tcBorders>
          <w:top w:val="nil"/>
          <w:left w:val="nil"/>
          <w:bottom w:val="nil"/>
          <w:right w:val="nil"/>
          <w:insideH w:val="nil"/>
          <w:insideV w:val="nil"/>
        </w:tcBorders>
        <w:shd w:val="clear" w:color="auto" w:fill="BD8B0B" w:themeFill="accent4" w:themeFillShade="BF"/>
      </w:tcPr>
    </w:tblStylePr>
    <w:tblStylePr w:type="band1Horz">
      <w:tblPr/>
      <w:tcPr>
        <w:tcBorders>
          <w:top w:val="nil"/>
          <w:left w:val="nil"/>
          <w:bottom w:val="nil"/>
          <w:right w:val="nil"/>
          <w:insideH w:val="nil"/>
          <w:insideV w:val="nil"/>
        </w:tcBorders>
        <w:shd w:val="clear" w:color="auto" w:fill="BD8B0B" w:themeFill="accent4" w:themeFillShade="BF"/>
      </w:tcPr>
    </w:tblStylePr>
  </w:style>
  <w:style w:type="table" w:styleId="DarkList-Accent5">
    <w:name w:val="Dark List Accent 5"/>
    <w:basedOn w:val="TableNormal"/>
    <w:unhideWhenUsed/>
    <w:rsid w:val="00B36B45"/>
    <w:pPr>
      <w:spacing w:after="0" w:line="240" w:lineRule="auto"/>
    </w:pPr>
    <w:rPr>
      <w:color w:val="FFFFFF" w:themeColor="background1"/>
    </w:rPr>
    <w:tblPr>
      <w:tblStyleRowBandSize w:val="1"/>
      <w:tblStyleColBandSize w:val="1"/>
    </w:tblPr>
    <w:tcPr>
      <w:shd w:val="clear" w:color="auto" w:fill="18939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484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6D6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6D6E" w:themeFill="accent5" w:themeFillShade="BF"/>
      </w:tcPr>
    </w:tblStylePr>
    <w:tblStylePr w:type="band1Vert">
      <w:tblPr/>
      <w:tcPr>
        <w:tcBorders>
          <w:top w:val="nil"/>
          <w:left w:val="nil"/>
          <w:bottom w:val="nil"/>
          <w:right w:val="nil"/>
          <w:insideH w:val="nil"/>
          <w:insideV w:val="nil"/>
        </w:tcBorders>
        <w:shd w:val="clear" w:color="auto" w:fill="126D6E" w:themeFill="accent5" w:themeFillShade="BF"/>
      </w:tcPr>
    </w:tblStylePr>
    <w:tblStylePr w:type="band1Horz">
      <w:tblPr/>
      <w:tcPr>
        <w:tcBorders>
          <w:top w:val="nil"/>
          <w:left w:val="nil"/>
          <w:bottom w:val="nil"/>
          <w:right w:val="nil"/>
          <w:insideH w:val="nil"/>
          <w:insideV w:val="nil"/>
        </w:tcBorders>
        <w:shd w:val="clear" w:color="auto" w:fill="126D6E" w:themeFill="accent5" w:themeFillShade="BF"/>
      </w:tcPr>
    </w:tblStylePr>
  </w:style>
  <w:style w:type="table" w:styleId="DarkList-Accent6">
    <w:name w:val="Dark List Accent 6"/>
    <w:basedOn w:val="TableNormal"/>
    <w:unhideWhenUsed/>
    <w:rsid w:val="00B36B45"/>
    <w:pPr>
      <w:spacing w:after="0" w:line="240" w:lineRule="auto"/>
    </w:pPr>
    <w:rPr>
      <w:color w:val="FFFFFF" w:themeColor="background1"/>
    </w:rPr>
    <w:tblPr>
      <w:tblStyleRowBandSize w:val="1"/>
      <w:tblStyleColBandSize w:val="1"/>
    </w:tblPr>
    <w:tcPr>
      <w:shd w:val="clear" w:color="auto" w:fill="17A6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23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17C5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17C55" w:themeFill="accent6" w:themeFillShade="BF"/>
      </w:tcPr>
    </w:tblStylePr>
    <w:tblStylePr w:type="band1Vert">
      <w:tblPr/>
      <w:tcPr>
        <w:tcBorders>
          <w:top w:val="nil"/>
          <w:left w:val="nil"/>
          <w:bottom w:val="nil"/>
          <w:right w:val="nil"/>
          <w:insideH w:val="nil"/>
          <w:insideV w:val="nil"/>
        </w:tcBorders>
        <w:shd w:val="clear" w:color="auto" w:fill="117C55" w:themeFill="accent6" w:themeFillShade="BF"/>
      </w:tcPr>
    </w:tblStylePr>
    <w:tblStylePr w:type="band1Horz">
      <w:tblPr/>
      <w:tcPr>
        <w:tcBorders>
          <w:top w:val="nil"/>
          <w:left w:val="nil"/>
          <w:bottom w:val="nil"/>
          <w:right w:val="nil"/>
          <w:insideH w:val="nil"/>
          <w:insideV w:val="nil"/>
        </w:tcBorders>
        <w:shd w:val="clear" w:color="auto" w:fill="117C55" w:themeFill="accent6" w:themeFillShade="BF"/>
      </w:tcPr>
    </w:tblStylePr>
  </w:style>
  <w:style w:type="paragraph" w:styleId="E-mailSignature">
    <w:name w:val="E-mail Signature"/>
    <w:basedOn w:val="Normal"/>
    <w:link w:val="E-mailSignatureChar"/>
    <w:qFormat/>
    <w:rsid w:val="00B36B45"/>
    <w:pPr>
      <w:spacing w:after="0" w:line="240" w:lineRule="auto"/>
    </w:pPr>
  </w:style>
  <w:style w:type="character" w:customStyle="1" w:styleId="E-mailSignatureChar">
    <w:name w:val="E-mail Signature Char"/>
    <w:basedOn w:val="DefaultParagraphFont"/>
    <w:link w:val="E-mailSignature"/>
    <w:rsid w:val="00B36B45"/>
  </w:style>
  <w:style w:type="paragraph" w:styleId="EnvelopeAddress">
    <w:name w:val="envelope address"/>
    <w:basedOn w:val="Normal"/>
    <w:qFormat/>
    <w:rsid w:val="00B36B4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qFormat/>
    <w:rsid w:val="00B36B45"/>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qFormat/>
    <w:rsid w:val="00AF1C85"/>
    <w:rPr>
      <w:color w:val="0563C1" w:themeColor="followedHyperlink"/>
      <w:u w:val="single"/>
    </w:rPr>
  </w:style>
  <w:style w:type="table" w:styleId="GridTable1Light">
    <w:name w:val="Grid Table 1 Light"/>
    <w:basedOn w:val="TableNormal"/>
    <w:rsid w:val="00B36B4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rsid w:val="00B36B45"/>
    <w:pPr>
      <w:spacing w:after="0" w:line="240" w:lineRule="auto"/>
    </w:pPr>
    <w:tblPr>
      <w:tblStyleRowBandSize w:val="1"/>
      <w:tblStyleColBandSize w:val="1"/>
      <w:tblBorders>
        <w:top w:val="single" w:sz="4" w:space="0" w:color="6AA7E8" w:themeColor="accent1" w:themeTint="66"/>
        <w:left w:val="single" w:sz="4" w:space="0" w:color="6AA7E8" w:themeColor="accent1" w:themeTint="66"/>
        <w:bottom w:val="single" w:sz="4" w:space="0" w:color="6AA7E8" w:themeColor="accent1" w:themeTint="66"/>
        <w:right w:val="single" w:sz="4" w:space="0" w:color="6AA7E8" w:themeColor="accent1" w:themeTint="66"/>
        <w:insideH w:val="single" w:sz="4" w:space="0" w:color="6AA7E8" w:themeColor="accent1" w:themeTint="66"/>
        <w:insideV w:val="single" w:sz="4" w:space="0" w:color="6AA7E8" w:themeColor="accent1" w:themeTint="66"/>
      </w:tblBorders>
    </w:tblPr>
    <w:tblStylePr w:type="firstRow">
      <w:rPr>
        <w:b/>
        <w:bCs/>
      </w:rPr>
      <w:tblPr/>
      <w:tcPr>
        <w:tcBorders>
          <w:bottom w:val="single" w:sz="12" w:space="0" w:color="217BDD" w:themeColor="accent1" w:themeTint="99"/>
        </w:tcBorders>
      </w:tcPr>
    </w:tblStylePr>
    <w:tblStylePr w:type="lastRow">
      <w:rPr>
        <w:b/>
        <w:bCs/>
      </w:rPr>
      <w:tblPr/>
      <w:tcPr>
        <w:tcBorders>
          <w:top w:val="double" w:sz="2" w:space="0" w:color="217B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rsid w:val="00B36B45"/>
    <w:pPr>
      <w:spacing w:after="0" w:line="240" w:lineRule="auto"/>
    </w:pPr>
    <w:tblPr>
      <w:tblStyleRowBandSize w:val="1"/>
      <w:tblStyleColBandSize w:val="1"/>
      <w:tblBorders>
        <w:top w:val="single" w:sz="4" w:space="0" w:color="EEA7A6" w:themeColor="accent2" w:themeTint="66"/>
        <w:left w:val="single" w:sz="4" w:space="0" w:color="EEA7A6" w:themeColor="accent2" w:themeTint="66"/>
        <w:bottom w:val="single" w:sz="4" w:space="0" w:color="EEA7A6" w:themeColor="accent2" w:themeTint="66"/>
        <w:right w:val="single" w:sz="4" w:space="0" w:color="EEA7A6" w:themeColor="accent2" w:themeTint="66"/>
        <w:insideH w:val="single" w:sz="4" w:space="0" w:color="EEA7A6" w:themeColor="accent2" w:themeTint="66"/>
        <w:insideV w:val="single" w:sz="4" w:space="0" w:color="EEA7A6" w:themeColor="accent2" w:themeTint="66"/>
      </w:tblBorders>
    </w:tblPr>
    <w:tblStylePr w:type="firstRow">
      <w:rPr>
        <w:b/>
        <w:bCs/>
      </w:rPr>
      <w:tblPr/>
      <w:tcPr>
        <w:tcBorders>
          <w:bottom w:val="single" w:sz="12" w:space="0" w:color="E67C79" w:themeColor="accent2" w:themeTint="99"/>
        </w:tcBorders>
      </w:tcPr>
    </w:tblStylePr>
    <w:tblStylePr w:type="lastRow">
      <w:rPr>
        <w:b/>
        <w:bCs/>
      </w:rPr>
      <w:tblPr/>
      <w:tcPr>
        <w:tcBorders>
          <w:top w:val="double" w:sz="2" w:space="0" w:color="E67C7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rsid w:val="00B36B45"/>
    <w:pPr>
      <w:spacing w:after="0" w:line="240" w:lineRule="auto"/>
    </w:pPr>
    <w:tblPr>
      <w:tblStyleRowBandSize w:val="1"/>
      <w:tblStyleColBandSize w:val="1"/>
      <w:tblBorders>
        <w:top w:val="single" w:sz="4" w:space="0" w:color="BBC2C8" w:themeColor="accent3" w:themeTint="66"/>
        <w:left w:val="single" w:sz="4" w:space="0" w:color="BBC2C8" w:themeColor="accent3" w:themeTint="66"/>
        <w:bottom w:val="single" w:sz="4" w:space="0" w:color="BBC2C8" w:themeColor="accent3" w:themeTint="66"/>
        <w:right w:val="single" w:sz="4" w:space="0" w:color="BBC2C8" w:themeColor="accent3" w:themeTint="66"/>
        <w:insideH w:val="single" w:sz="4" w:space="0" w:color="BBC2C8" w:themeColor="accent3" w:themeTint="66"/>
        <w:insideV w:val="single" w:sz="4" w:space="0" w:color="BBC2C8" w:themeColor="accent3" w:themeTint="66"/>
      </w:tblBorders>
    </w:tblPr>
    <w:tblStylePr w:type="firstRow">
      <w:rPr>
        <w:b/>
        <w:bCs/>
      </w:rPr>
      <w:tblPr/>
      <w:tcPr>
        <w:tcBorders>
          <w:bottom w:val="single" w:sz="12" w:space="0" w:color="99A4AD" w:themeColor="accent3" w:themeTint="99"/>
        </w:tcBorders>
      </w:tcPr>
    </w:tblStylePr>
    <w:tblStylePr w:type="lastRow">
      <w:rPr>
        <w:b/>
        <w:bCs/>
      </w:rPr>
      <w:tblPr/>
      <w:tcPr>
        <w:tcBorders>
          <w:top w:val="double" w:sz="2" w:space="0" w:color="99A4A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rsid w:val="00B36B45"/>
    <w:pPr>
      <w:spacing w:after="0" w:line="240" w:lineRule="auto"/>
    </w:pPr>
    <w:tblPr>
      <w:tblStyleRowBandSize w:val="1"/>
      <w:tblStyleColBandSize w:val="1"/>
      <w:tblBorders>
        <w:top w:val="single" w:sz="4" w:space="0" w:color="F9E1A3" w:themeColor="accent4" w:themeTint="66"/>
        <w:left w:val="single" w:sz="4" w:space="0" w:color="F9E1A3" w:themeColor="accent4" w:themeTint="66"/>
        <w:bottom w:val="single" w:sz="4" w:space="0" w:color="F9E1A3" w:themeColor="accent4" w:themeTint="66"/>
        <w:right w:val="single" w:sz="4" w:space="0" w:color="F9E1A3" w:themeColor="accent4" w:themeTint="66"/>
        <w:insideH w:val="single" w:sz="4" w:space="0" w:color="F9E1A3" w:themeColor="accent4" w:themeTint="66"/>
        <w:insideV w:val="single" w:sz="4" w:space="0" w:color="F9E1A3" w:themeColor="accent4" w:themeTint="66"/>
      </w:tblBorders>
    </w:tblPr>
    <w:tblStylePr w:type="firstRow">
      <w:rPr>
        <w:b/>
        <w:bCs/>
      </w:rPr>
      <w:tblPr/>
      <w:tcPr>
        <w:tcBorders>
          <w:bottom w:val="single" w:sz="12" w:space="0" w:color="F6D276" w:themeColor="accent4" w:themeTint="99"/>
        </w:tcBorders>
      </w:tcPr>
    </w:tblStylePr>
    <w:tblStylePr w:type="lastRow">
      <w:rPr>
        <w:b/>
        <w:bCs/>
      </w:rPr>
      <w:tblPr/>
      <w:tcPr>
        <w:tcBorders>
          <w:top w:val="double" w:sz="2" w:space="0" w:color="F6D27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rsid w:val="00B36B45"/>
    <w:pPr>
      <w:spacing w:after="0" w:line="240" w:lineRule="auto"/>
    </w:pPr>
    <w:tblPr>
      <w:tblStyleRowBandSize w:val="1"/>
      <w:tblStyleColBandSize w:val="1"/>
      <w:tblBorders>
        <w:top w:val="single" w:sz="4" w:space="0" w:color="8AEBEC" w:themeColor="accent5" w:themeTint="66"/>
        <w:left w:val="single" w:sz="4" w:space="0" w:color="8AEBEC" w:themeColor="accent5" w:themeTint="66"/>
        <w:bottom w:val="single" w:sz="4" w:space="0" w:color="8AEBEC" w:themeColor="accent5" w:themeTint="66"/>
        <w:right w:val="single" w:sz="4" w:space="0" w:color="8AEBEC" w:themeColor="accent5" w:themeTint="66"/>
        <w:insideH w:val="single" w:sz="4" w:space="0" w:color="8AEBEC" w:themeColor="accent5" w:themeTint="66"/>
        <w:insideV w:val="single" w:sz="4" w:space="0" w:color="8AEBEC" w:themeColor="accent5" w:themeTint="66"/>
      </w:tblBorders>
    </w:tblPr>
    <w:tblStylePr w:type="firstRow">
      <w:rPr>
        <w:b/>
        <w:bCs/>
      </w:rPr>
      <w:tblPr/>
      <w:tcPr>
        <w:tcBorders>
          <w:bottom w:val="single" w:sz="12" w:space="0" w:color="50E1E2" w:themeColor="accent5" w:themeTint="99"/>
        </w:tcBorders>
      </w:tcPr>
    </w:tblStylePr>
    <w:tblStylePr w:type="lastRow">
      <w:rPr>
        <w:b/>
        <w:bCs/>
      </w:rPr>
      <w:tblPr/>
      <w:tcPr>
        <w:tcBorders>
          <w:top w:val="double" w:sz="2" w:space="0" w:color="50E1E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rsid w:val="00B36B45"/>
    <w:pPr>
      <w:spacing w:after="0" w:line="240" w:lineRule="auto"/>
    </w:pPr>
    <w:tblPr>
      <w:tblStyleRowBandSize w:val="1"/>
      <w:tblStyleColBandSize w:val="1"/>
      <w:tblBorders>
        <w:top w:val="single" w:sz="4" w:space="0" w:color="8EEFCC" w:themeColor="accent6" w:themeTint="66"/>
        <w:left w:val="single" w:sz="4" w:space="0" w:color="8EEFCC" w:themeColor="accent6" w:themeTint="66"/>
        <w:bottom w:val="single" w:sz="4" w:space="0" w:color="8EEFCC" w:themeColor="accent6" w:themeTint="66"/>
        <w:right w:val="single" w:sz="4" w:space="0" w:color="8EEFCC" w:themeColor="accent6" w:themeTint="66"/>
        <w:insideH w:val="single" w:sz="4" w:space="0" w:color="8EEFCC" w:themeColor="accent6" w:themeTint="66"/>
        <w:insideV w:val="single" w:sz="4" w:space="0" w:color="8EEFCC" w:themeColor="accent6" w:themeTint="66"/>
      </w:tblBorders>
    </w:tblPr>
    <w:tblStylePr w:type="firstRow">
      <w:rPr>
        <w:b/>
        <w:bCs/>
      </w:rPr>
      <w:tblPr/>
      <w:tcPr>
        <w:tcBorders>
          <w:bottom w:val="single" w:sz="12" w:space="0" w:color="55E7B3" w:themeColor="accent6" w:themeTint="99"/>
        </w:tcBorders>
      </w:tcPr>
    </w:tblStylePr>
    <w:tblStylePr w:type="lastRow">
      <w:rPr>
        <w:b/>
        <w:bCs/>
      </w:rPr>
      <w:tblPr/>
      <w:tcPr>
        <w:tcBorders>
          <w:top w:val="double" w:sz="2" w:space="0" w:color="55E7B3" w:themeColor="accent6" w:themeTint="99"/>
        </w:tcBorders>
      </w:tcPr>
    </w:tblStylePr>
    <w:tblStylePr w:type="firstCol">
      <w:rPr>
        <w:b/>
        <w:bCs/>
      </w:rPr>
    </w:tblStylePr>
    <w:tblStylePr w:type="lastCol">
      <w:rPr>
        <w:b/>
        <w:bCs/>
      </w:rPr>
    </w:tblStylePr>
  </w:style>
  <w:style w:type="table" w:styleId="GridTable2">
    <w:name w:val="Grid Table 2"/>
    <w:basedOn w:val="TableNormal"/>
    <w:rsid w:val="00B36B4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2">
    <w:name w:val="Grid Table 2 Accent 2"/>
    <w:basedOn w:val="TableNormal"/>
    <w:rsid w:val="00B36B45"/>
    <w:pPr>
      <w:spacing w:after="0" w:line="240" w:lineRule="auto"/>
    </w:pPr>
    <w:tblPr>
      <w:tblStyleRowBandSize w:val="1"/>
      <w:tblStyleColBandSize w:val="1"/>
      <w:tblBorders>
        <w:top w:val="single" w:sz="2" w:space="0" w:color="E67C79" w:themeColor="accent2" w:themeTint="99"/>
        <w:bottom w:val="single" w:sz="2" w:space="0" w:color="E67C79" w:themeColor="accent2" w:themeTint="99"/>
        <w:insideH w:val="single" w:sz="2" w:space="0" w:color="E67C79" w:themeColor="accent2" w:themeTint="99"/>
        <w:insideV w:val="single" w:sz="2" w:space="0" w:color="E67C79" w:themeColor="accent2" w:themeTint="99"/>
      </w:tblBorders>
    </w:tblPr>
    <w:tblStylePr w:type="firstRow">
      <w:rPr>
        <w:b/>
        <w:bCs/>
      </w:rPr>
      <w:tblPr/>
      <w:tcPr>
        <w:tcBorders>
          <w:top w:val="nil"/>
          <w:bottom w:val="single" w:sz="12" w:space="0" w:color="E67C79" w:themeColor="accent2" w:themeTint="99"/>
          <w:insideH w:val="nil"/>
          <w:insideV w:val="nil"/>
        </w:tcBorders>
        <w:shd w:val="clear" w:color="auto" w:fill="FFFFFF" w:themeFill="background1"/>
      </w:tcPr>
    </w:tblStylePr>
    <w:tblStylePr w:type="lastRow">
      <w:rPr>
        <w:b/>
        <w:bCs/>
      </w:rPr>
      <w:tblPr/>
      <w:tcPr>
        <w:tcBorders>
          <w:top w:val="double" w:sz="2" w:space="0" w:color="E67C7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2-Accent3">
    <w:name w:val="Grid Table 2 Accent 3"/>
    <w:basedOn w:val="TableNormal"/>
    <w:rsid w:val="00B36B45"/>
    <w:pPr>
      <w:spacing w:after="0" w:line="240" w:lineRule="auto"/>
    </w:pPr>
    <w:tblPr>
      <w:tblStyleRowBandSize w:val="1"/>
      <w:tblStyleColBandSize w:val="1"/>
      <w:tblBorders>
        <w:top w:val="single" w:sz="2" w:space="0" w:color="99A4AD" w:themeColor="accent3" w:themeTint="99"/>
        <w:bottom w:val="single" w:sz="2" w:space="0" w:color="99A4AD" w:themeColor="accent3" w:themeTint="99"/>
        <w:insideH w:val="single" w:sz="2" w:space="0" w:color="99A4AD" w:themeColor="accent3" w:themeTint="99"/>
        <w:insideV w:val="single" w:sz="2" w:space="0" w:color="99A4AD" w:themeColor="accent3" w:themeTint="99"/>
      </w:tblBorders>
    </w:tblPr>
    <w:tblStylePr w:type="firstRow">
      <w:rPr>
        <w:b/>
        <w:bCs/>
      </w:rPr>
      <w:tblPr/>
      <w:tcPr>
        <w:tcBorders>
          <w:top w:val="nil"/>
          <w:bottom w:val="single" w:sz="12" w:space="0" w:color="99A4AD" w:themeColor="accent3" w:themeTint="99"/>
          <w:insideH w:val="nil"/>
          <w:insideV w:val="nil"/>
        </w:tcBorders>
        <w:shd w:val="clear" w:color="auto" w:fill="FFFFFF" w:themeFill="background1"/>
      </w:tcPr>
    </w:tblStylePr>
    <w:tblStylePr w:type="lastRow">
      <w:rPr>
        <w:b/>
        <w:bCs/>
      </w:rPr>
      <w:tblPr/>
      <w:tcPr>
        <w:tcBorders>
          <w:top w:val="double" w:sz="2" w:space="0" w:color="99A4A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2-Accent4">
    <w:name w:val="Grid Table 2 Accent 4"/>
    <w:basedOn w:val="TableNormal"/>
    <w:rsid w:val="00B36B45"/>
    <w:pPr>
      <w:spacing w:after="0" w:line="240" w:lineRule="auto"/>
    </w:pPr>
    <w:tblPr>
      <w:tblStyleRowBandSize w:val="1"/>
      <w:tblStyleColBandSize w:val="1"/>
      <w:tblBorders>
        <w:top w:val="single" w:sz="2" w:space="0" w:color="F6D276" w:themeColor="accent4" w:themeTint="99"/>
        <w:bottom w:val="single" w:sz="2" w:space="0" w:color="F6D276" w:themeColor="accent4" w:themeTint="99"/>
        <w:insideH w:val="single" w:sz="2" w:space="0" w:color="F6D276" w:themeColor="accent4" w:themeTint="99"/>
        <w:insideV w:val="single" w:sz="2" w:space="0" w:color="F6D276" w:themeColor="accent4" w:themeTint="99"/>
      </w:tblBorders>
    </w:tblPr>
    <w:tblStylePr w:type="firstRow">
      <w:rPr>
        <w:b/>
        <w:bCs/>
      </w:rPr>
      <w:tblPr/>
      <w:tcPr>
        <w:tcBorders>
          <w:top w:val="nil"/>
          <w:bottom w:val="single" w:sz="12" w:space="0" w:color="F6D276" w:themeColor="accent4" w:themeTint="99"/>
          <w:insideH w:val="nil"/>
          <w:insideV w:val="nil"/>
        </w:tcBorders>
        <w:shd w:val="clear" w:color="auto" w:fill="FFFFFF" w:themeFill="background1"/>
      </w:tcPr>
    </w:tblStylePr>
    <w:tblStylePr w:type="lastRow">
      <w:rPr>
        <w:b/>
        <w:bCs/>
      </w:rPr>
      <w:tblPr/>
      <w:tcPr>
        <w:tcBorders>
          <w:top w:val="double" w:sz="2" w:space="0" w:color="F6D27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2-Accent5">
    <w:name w:val="Grid Table 2 Accent 5"/>
    <w:basedOn w:val="TableNormal"/>
    <w:rsid w:val="00B36B45"/>
    <w:pPr>
      <w:spacing w:after="0" w:line="240" w:lineRule="auto"/>
    </w:pPr>
    <w:tblPr>
      <w:tblStyleRowBandSize w:val="1"/>
      <w:tblStyleColBandSize w:val="1"/>
      <w:tblBorders>
        <w:top w:val="single" w:sz="2" w:space="0" w:color="50E1E2" w:themeColor="accent5" w:themeTint="99"/>
        <w:bottom w:val="single" w:sz="2" w:space="0" w:color="50E1E2" w:themeColor="accent5" w:themeTint="99"/>
        <w:insideH w:val="single" w:sz="2" w:space="0" w:color="50E1E2" w:themeColor="accent5" w:themeTint="99"/>
        <w:insideV w:val="single" w:sz="2" w:space="0" w:color="50E1E2" w:themeColor="accent5" w:themeTint="99"/>
      </w:tblBorders>
    </w:tblPr>
    <w:tblStylePr w:type="firstRow">
      <w:rPr>
        <w:b/>
        <w:bCs/>
      </w:rPr>
      <w:tblPr/>
      <w:tcPr>
        <w:tcBorders>
          <w:top w:val="nil"/>
          <w:bottom w:val="single" w:sz="12" w:space="0" w:color="50E1E2" w:themeColor="accent5" w:themeTint="99"/>
          <w:insideH w:val="nil"/>
          <w:insideV w:val="nil"/>
        </w:tcBorders>
        <w:shd w:val="clear" w:color="auto" w:fill="FFFFFF" w:themeFill="background1"/>
      </w:tcPr>
    </w:tblStylePr>
    <w:tblStylePr w:type="lastRow">
      <w:rPr>
        <w:b/>
        <w:bCs/>
      </w:rPr>
      <w:tblPr/>
      <w:tcPr>
        <w:tcBorders>
          <w:top w:val="double" w:sz="2" w:space="0" w:color="50E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2-Accent6">
    <w:name w:val="Grid Table 2 Accent 6"/>
    <w:basedOn w:val="TableNormal"/>
    <w:rsid w:val="00B36B45"/>
    <w:pPr>
      <w:spacing w:after="0" w:line="240" w:lineRule="auto"/>
    </w:pPr>
    <w:tblPr>
      <w:tblStyleRowBandSize w:val="1"/>
      <w:tblStyleColBandSize w:val="1"/>
      <w:tblBorders>
        <w:top w:val="single" w:sz="2" w:space="0" w:color="55E7B3" w:themeColor="accent6" w:themeTint="99"/>
        <w:bottom w:val="single" w:sz="2" w:space="0" w:color="55E7B3" w:themeColor="accent6" w:themeTint="99"/>
        <w:insideH w:val="single" w:sz="2" w:space="0" w:color="55E7B3" w:themeColor="accent6" w:themeTint="99"/>
        <w:insideV w:val="single" w:sz="2" w:space="0" w:color="55E7B3" w:themeColor="accent6" w:themeTint="99"/>
      </w:tblBorders>
    </w:tblPr>
    <w:tblStylePr w:type="firstRow">
      <w:rPr>
        <w:b/>
        <w:bCs/>
      </w:rPr>
      <w:tblPr/>
      <w:tcPr>
        <w:tcBorders>
          <w:top w:val="nil"/>
          <w:bottom w:val="single" w:sz="12" w:space="0" w:color="55E7B3" w:themeColor="accent6" w:themeTint="99"/>
          <w:insideH w:val="nil"/>
          <w:insideV w:val="nil"/>
        </w:tcBorders>
        <w:shd w:val="clear" w:color="auto" w:fill="FFFFFF" w:themeFill="background1"/>
      </w:tcPr>
    </w:tblStylePr>
    <w:tblStylePr w:type="lastRow">
      <w:rPr>
        <w:b/>
        <w:bCs/>
      </w:rPr>
      <w:tblPr/>
      <w:tcPr>
        <w:tcBorders>
          <w:top w:val="double" w:sz="2" w:space="0" w:color="55E7B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3">
    <w:name w:val="Grid Table 3"/>
    <w:basedOn w:val="TableNormal"/>
    <w:rsid w:val="00B36B4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rsid w:val="00B36B45"/>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bottom w:val="single" w:sz="4" w:space="0" w:color="217BDD" w:themeColor="accent1" w:themeTint="99"/>
        </w:tcBorders>
      </w:tcPr>
    </w:tblStylePr>
    <w:tblStylePr w:type="nwCell">
      <w:tblPr/>
      <w:tcPr>
        <w:tcBorders>
          <w:bottom w:val="single" w:sz="4" w:space="0" w:color="217BDD" w:themeColor="accent1" w:themeTint="99"/>
        </w:tcBorders>
      </w:tcPr>
    </w:tblStylePr>
    <w:tblStylePr w:type="seCell">
      <w:tblPr/>
      <w:tcPr>
        <w:tcBorders>
          <w:top w:val="single" w:sz="4" w:space="0" w:color="217BDD" w:themeColor="accent1" w:themeTint="99"/>
        </w:tcBorders>
      </w:tcPr>
    </w:tblStylePr>
    <w:tblStylePr w:type="swCell">
      <w:tblPr/>
      <w:tcPr>
        <w:tcBorders>
          <w:top w:val="single" w:sz="4" w:space="0" w:color="217BDD" w:themeColor="accent1" w:themeTint="99"/>
        </w:tcBorders>
      </w:tcPr>
    </w:tblStylePr>
  </w:style>
  <w:style w:type="table" w:styleId="GridTable3-Accent2">
    <w:name w:val="Grid Table 3 Accent 2"/>
    <w:basedOn w:val="TableNormal"/>
    <w:rsid w:val="00B36B4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bottom w:val="single" w:sz="4" w:space="0" w:color="E67C79" w:themeColor="accent2" w:themeTint="99"/>
        </w:tcBorders>
      </w:tcPr>
    </w:tblStylePr>
    <w:tblStylePr w:type="nwCell">
      <w:tblPr/>
      <w:tcPr>
        <w:tcBorders>
          <w:bottom w:val="single" w:sz="4" w:space="0" w:color="E67C79" w:themeColor="accent2" w:themeTint="99"/>
        </w:tcBorders>
      </w:tcPr>
    </w:tblStylePr>
    <w:tblStylePr w:type="seCell">
      <w:tblPr/>
      <w:tcPr>
        <w:tcBorders>
          <w:top w:val="single" w:sz="4" w:space="0" w:color="E67C79" w:themeColor="accent2" w:themeTint="99"/>
        </w:tcBorders>
      </w:tcPr>
    </w:tblStylePr>
    <w:tblStylePr w:type="swCell">
      <w:tblPr/>
      <w:tcPr>
        <w:tcBorders>
          <w:top w:val="single" w:sz="4" w:space="0" w:color="E67C79" w:themeColor="accent2" w:themeTint="99"/>
        </w:tcBorders>
      </w:tcPr>
    </w:tblStylePr>
  </w:style>
  <w:style w:type="table" w:styleId="GridTable3-Accent3">
    <w:name w:val="Grid Table 3 Accent 3"/>
    <w:basedOn w:val="TableNormal"/>
    <w:rsid w:val="00B36B4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bottom w:val="single" w:sz="4" w:space="0" w:color="99A4AD" w:themeColor="accent3" w:themeTint="99"/>
        </w:tcBorders>
      </w:tcPr>
    </w:tblStylePr>
    <w:tblStylePr w:type="nwCell">
      <w:tblPr/>
      <w:tcPr>
        <w:tcBorders>
          <w:bottom w:val="single" w:sz="4" w:space="0" w:color="99A4AD" w:themeColor="accent3" w:themeTint="99"/>
        </w:tcBorders>
      </w:tcPr>
    </w:tblStylePr>
    <w:tblStylePr w:type="seCell">
      <w:tblPr/>
      <w:tcPr>
        <w:tcBorders>
          <w:top w:val="single" w:sz="4" w:space="0" w:color="99A4AD" w:themeColor="accent3" w:themeTint="99"/>
        </w:tcBorders>
      </w:tcPr>
    </w:tblStylePr>
    <w:tblStylePr w:type="swCell">
      <w:tblPr/>
      <w:tcPr>
        <w:tcBorders>
          <w:top w:val="single" w:sz="4" w:space="0" w:color="99A4AD" w:themeColor="accent3" w:themeTint="99"/>
        </w:tcBorders>
      </w:tcPr>
    </w:tblStylePr>
  </w:style>
  <w:style w:type="table" w:styleId="GridTable3-Accent4">
    <w:name w:val="Grid Table 3 Accent 4"/>
    <w:basedOn w:val="TableNormal"/>
    <w:rsid w:val="00B36B4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bottom w:val="single" w:sz="4" w:space="0" w:color="F6D276" w:themeColor="accent4" w:themeTint="99"/>
        </w:tcBorders>
      </w:tcPr>
    </w:tblStylePr>
    <w:tblStylePr w:type="nwCell">
      <w:tblPr/>
      <w:tcPr>
        <w:tcBorders>
          <w:bottom w:val="single" w:sz="4" w:space="0" w:color="F6D276" w:themeColor="accent4" w:themeTint="99"/>
        </w:tcBorders>
      </w:tcPr>
    </w:tblStylePr>
    <w:tblStylePr w:type="seCell">
      <w:tblPr/>
      <w:tcPr>
        <w:tcBorders>
          <w:top w:val="single" w:sz="4" w:space="0" w:color="F6D276" w:themeColor="accent4" w:themeTint="99"/>
        </w:tcBorders>
      </w:tcPr>
    </w:tblStylePr>
    <w:tblStylePr w:type="swCell">
      <w:tblPr/>
      <w:tcPr>
        <w:tcBorders>
          <w:top w:val="single" w:sz="4" w:space="0" w:color="F6D276" w:themeColor="accent4" w:themeTint="99"/>
        </w:tcBorders>
      </w:tcPr>
    </w:tblStylePr>
  </w:style>
  <w:style w:type="table" w:styleId="GridTable3-Accent5">
    <w:name w:val="Grid Table 3 Accent 5"/>
    <w:basedOn w:val="TableNormal"/>
    <w:rsid w:val="00B36B4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bottom w:val="single" w:sz="4" w:space="0" w:color="50E1E2" w:themeColor="accent5" w:themeTint="99"/>
        </w:tcBorders>
      </w:tcPr>
    </w:tblStylePr>
    <w:tblStylePr w:type="nwCell">
      <w:tblPr/>
      <w:tcPr>
        <w:tcBorders>
          <w:bottom w:val="single" w:sz="4" w:space="0" w:color="50E1E2" w:themeColor="accent5" w:themeTint="99"/>
        </w:tcBorders>
      </w:tcPr>
    </w:tblStylePr>
    <w:tblStylePr w:type="seCell">
      <w:tblPr/>
      <w:tcPr>
        <w:tcBorders>
          <w:top w:val="single" w:sz="4" w:space="0" w:color="50E1E2" w:themeColor="accent5" w:themeTint="99"/>
        </w:tcBorders>
      </w:tcPr>
    </w:tblStylePr>
    <w:tblStylePr w:type="swCell">
      <w:tblPr/>
      <w:tcPr>
        <w:tcBorders>
          <w:top w:val="single" w:sz="4" w:space="0" w:color="50E1E2" w:themeColor="accent5" w:themeTint="99"/>
        </w:tcBorders>
      </w:tcPr>
    </w:tblStylePr>
  </w:style>
  <w:style w:type="table" w:styleId="GridTable3-Accent6">
    <w:name w:val="Grid Table 3 Accent 6"/>
    <w:basedOn w:val="TableNormal"/>
    <w:rsid w:val="00B36B4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bottom w:val="single" w:sz="4" w:space="0" w:color="55E7B3" w:themeColor="accent6" w:themeTint="99"/>
        </w:tcBorders>
      </w:tcPr>
    </w:tblStylePr>
    <w:tblStylePr w:type="nwCell">
      <w:tblPr/>
      <w:tcPr>
        <w:tcBorders>
          <w:bottom w:val="single" w:sz="4" w:space="0" w:color="55E7B3" w:themeColor="accent6" w:themeTint="99"/>
        </w:tcBorders>
      </w:tcPr>
    </w:tblStylePr>
    <w:tblStylePr w:type="seCell">
      <w:tblPr/>
      <w:tcPr>
        <w:tcBorders>
          <w:top w:val="single" w:sz="4" w:space="0" w:color="55E7B3" w:themeColor="accent6" w:themeTint="99"/>
        </w:tcBorders>
      </w:tcPr>
    </w:tblStylePr>
    <w:tblStylePr w:type="swCell">
      <w:tblPr/>
      <w:tcPr>
        <w:tcBorders>
          <w:top w:val="single" w:sz="4" w:space="0" w:color="55E7B3" w:themeColor="accent6" w:themeTint="99"/>
        </w:tcBorders>
      </w:tcPr>
    </w:tblStylePr>
  </w:style>
  <w:style w:type="table" w:styleId="GridTable4">
    <w:name w:val="Grid Table 4"/>
    <w:basedOn w:val="TableNormal"/>
    <w:rsid w:val="00B36B4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rsid w:val="00B36B4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color w:val="FFFFFF" w:themeColor="background1"/>
      </w:rPr>
      <w:tblPr/>
      <w:tcPr>
        <w:tcBorders>
          <w:top w:val="single" w:sz="4" w:space="0" w:color="D02B27" w:themeColor="accent2"/>
          <w:left w:val="single" w:sz="4" w:space="0" w:color="D02B27" w:themeColor="accent2"/>
          <w:bottom w:val="single" w:sz="4" w:space="0" w:color="D02B27" w:themeColor="accent2"/>
          <w:right w:val="single" w:sz="4" w:space="0" w:color="D02B27" w:themeColor="accent2"/>
          <w:insideH w:val="nil"/>
          <w:insideV w:val="nil"/>
        </w:tcBorders>
        <w:shd w:val="clear" w:color="auto" w:fill="D02B27" w:themeFill="accent2"/>
      </w:tcPr>
    </w:tblStylePr>
    <w:tblStylePr w:type="lastRow">
      <w:rPr>
        <w:b/>
        <w:bCs/>
      </w:rPr>
      <w:tblPr/>
      <w:tcPr>
        <w:tcBorders>
          <w:top w:val="double" w:sz="4" w:space="0" w:color="D02B27" w:themeColor="accent2"/>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4-Accent3">
    <w:name w:val="Grid Table 4 Accent 3"/>
    <w:basedOn w:val="TableNormal"/>
    <w:rsid w:val="00B36B4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color w:val="FFFFFF" w:themeColor="background1"/>
      </w:rPr>
      <w:tblPr/>
      <w:tcPr>
        <w:tcBorders>
          <w:top w:val="single" w:sz="4" w:space="0" w:color="5B6771" w:themeColor="accent3"/>
          <w:left w:val="single" w:sz="4" w:space="0" w:color="5B6771" w:themeColor="accent3"/>
          <w:bottom w:val="single" w:sz="4" w:space="0" w:color="5B6771" w:themeColor="accent3"/>
          <w:right w:val="single" w:sz="4" w:space="0" w:color="5B6771" w:themeColor="accent3"/>
          <w:insideH w:val="nil"/>
          <w:insideV w:val="nil"/>
        </w:tcBorders>
        <w:shd w:val="clear" w:color="auto" w:fill="5B6771" w:themeFill="accent3"/>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4-Accent4">
    <w:name w:val="Grid Table 4 Accent 4"/>
    <w:basedOn w:val="TableNormal"/>
    <w:rsid w:val="00B36B4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color w:val="FFFFFF" w:themeColor="background1"/>
      </w:rPr>
      <w:tblPr/>
      <w:tcPr>
        <w:tcBorders>
          <w:top w:val="single" w:sz="4" w:space="0" w:color="F1B51C" w:themeColor="accent4"/>
          <w:left w:val="single" w:sz="4" w:space="0" w:color="F1B51C" w:themeColor="accent4"/>
          <w:bottom w:val="single" w:sz="4" w:space="0" w:color="F1B51C" w:themeColor="accent4"/>
          <w:right w:val="single" w:sz="4" w:space="0" w:color="F1B51C" w:themeColor="accent4"/>
          <w:insideH w:val="nil"/>
          <w:insideV w:val="nil"/>
        </w:tcBorders>
        <w:shd w:val="clear" w:color="auto" w:fill="F1B51C" w:themeFill="accent4"/>
      </w:tcPr>
    </w:tblStylePr>
    <w:tblStylePr w:type="lastRow">
      <w:rPr>
        <w:b/>
        <w:bCs/>
      </w:rPr>
      <w:tblPr/>
      <w:tcPr>
        <w:tcBorders>
          <w:top w:val="double" w:sz="4" w:space="0" w:color="F1B51C" w:themeColor="accent4"/>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4-Accent5">
    <w:name w:val="Grid Table 4 Accent 5"/>
    <w:basedOn w:val="TableNormal"/>
    <w:rsid w:val="00B36B4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color w:val="FFFFFF" w:themeColor="background1"/>
      </w:rPr>
      <w:tblPr/>
      <w:tcPr>
        <w:tcBorders>
          <w:top w:val="single" w:sz="4" w:space="0" w:color="189394" w:themeColor="accent5"/>
          <w:left w:val="single" w:sz="4" w:space="0" w:color="189394" w:themeColor="accent5"/>
          <w:bottom w:val="single" w:sz="4" w:space="0" w:color="189394" w:themeColor="accent5"/>
          <w:right w:val="single" w:sz="4" w:space="0" w:color="189394" w:themeColor="accent5"/>
          <w:insideH w:val="nil"/>
          <w:insideV w:val="nil"/>
        </w:tcBorders>
        <w:shd w:val="clear" w:color="auto" w:fill="189394" w:themeFill="accent5"/>
      </w:tcPr>
    </w:tblStylePr>
    <w:tblStylePr w:type="lastRow">
      <w:rPr>
        <w:b/>
        <w:bCs/>
      </w:rPr>
      <w:tblPr/>
      <w:tcPr>
        <w:tcBorders>
          <w:top w:val="double" w:sz="4" w:space="0" w:color="189394" w:themeColor="accent5"/>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4-Accent6">
    <w:name w:val="Grid Table 4 Accent 6"/>
    <w:basedOn w:val="TableNormal"/>
    <w:rsid w:val="00B36B4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color w:val="FFFFFF" w:themeColor="background1"/>
      </w:rPr>
      <w:tblPr/>
      <w:tcPr>
        <w:tcBorders>
          <w:top w:val="single" w:sz="4" w:space="0" w:color="17A673" w:themeColor="accent6"/>
          <w:left w:val="single" w:sz="4" w:space="0" w:color="17A673" w:themeColor="accent6"/>
          <w:bottom w:val="single" w:sz="4" w:space="0" w:color="17A673" w:themeColor="accent6"/>
          <w:right w:val="single" w:sz="4" w:space="0" w:color="17A673" w:themeColor="accent6"/>
          <w:insideH w:val="nil"/>
          <w:insideV w:val="nil"/>
        </w:tcBorders>
        <w:shd w:val="clear" w:color="auto" w:fill="17A673" w:themeFill="accent6"/>
      </w:tcPr>
    </w:tblStylePr>
    <w:tblStylePr w:type="lastRow">
      <w:rPr>
        <w:b/>
        <w:bCs/>
      </w:rPr>
      <w:tblPr/>
      <w:tcPr>
        <w:tcBorders>
          <w:top w:val="double" w:sz="4" w:space="0" w:color="17A673" w:themeColor="accent6"/>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5Dark">
    <w:name w:val="Grid Table 5 Dark"/>
    <w:basedOn w:val="TableNormal"/>
    <w:rsid w:val="00B36B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rsid w:val="00B36B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3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29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29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29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2949" w:themeFill="accent1"/>
      </w:tcPr>
    </w:tblStylePr>
    <w:tblStylePr w:type="band1Vert">
      <w:tblPr/>
      <w:tcPr>
        <w:shd w:val="clear" w:color="auto" w:fill="6AA7E8" w:themeFill="accent1" w:themeFillTint="66"/>
      </w:tcPr>
    </w:tblStylePr>
    <w:tblStylePr w:type="band1Horz">
      <w:tblPr/>
      <w:tcPr>
        <w:shd w:val="clear" w:color="auto" w:fill="6AA7E8" w:themeFill="accent1" w:themeFillTint="66"/>
      </w:tcPr>
    </w:tblStylePr>
  </w:style>
  <w:style w:type="table" w:styleId="GridTable5Dark-Accent2">
    <w:name w:val="Grid Table 5 Dark Accent 2"/>
    <w:basedOn w:val="TableNormal"/>
    <w:rsid w:val="00B36B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3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B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B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B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B27" w:themeFill="accent2"/>
      </w:tcPr>
    </w:tblStylePr>
    <w:tblStylePr w:type="band1Vert">
      <w:tblPr/>
      <w:tcPr>
        <w:shd w:val="clear" w:color="auto" w:fill="EEA7A6" w:themeFill="accent2" w:themeFillTint="66"/>
      </w:tcPr>
    </w:tblStylePr>
    <w:tblStylePr w:type="band1Horz">
      <w:tblPr/>
      <w:tcPr>
        <w:shd w:val="clear" w:color="auto" w:fill="EEA7A6" w:themeFill="accent2" w:themeFillTint="66"/>
      </w:tcPr>
    </w:tblStylePr>
  </w:style>
  <w:style w:type="table" w:styleId="GridTable5Dark-Accent3">
    <w:name w:val="Grid Table 5 Dark Accent 3"/>
    <w:basedOn w:val="TableNormal"/>
    <w:rsid w:val="00B36B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0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1" w:themeFill="accent3"/>
      </w:tcPr>
    </w:tblStylePr>
    <w:tblStylePr w:type="band1Vert">
      <w:tblPr/>
      <w:tcPr>
        <w:shd w:val="clear" w:color="auto" w:fill="BBC2C8" w:themeFill="accent3" w:themeFillTint="66"/>
      </w:tcPr>
    </w:tblStylePr>
    <w:tblStylePr w:type="band1Horz">
      <w:tblPr/>
      <w:tcPr>
        <w:shd w:val="clear" w:color="auto" w:fill="BBC2C8" w:themeFill="accent3" w:themeFillTint="66"/>
      </w:tcPr>
    </w:tblStylePr>
  </w:style>
  <w:style w:type="table" w:styleId="GridTable5Dark-Accent4">
    <w:name w:val="Grid Table 5 Dark Accent 4"/>
    <w:basedOn w:val="TableNormal"/>
    <w:rsid w:val="00B36B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0D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B51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B51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B51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B51C" w:themeFill="accent4"/>
      </w:tcPr>
    </w:tblStylePr>
    <w:tblStylePr w:type="band1Vert">
      <w:tblPr/>
      <w:tcPr>
        <w:shd w:val="clear" w:color="auto" w:fill="F9E1A3" w:themeFill="accent4" w:themeFillTint="66"/>
      </w:tcPr>
    </w:tblStylePr>
    <w:tblStylePr w:type="band1Horz">
      <w:tblPr/>
      <w:tcPr>
        <w:shd w:val="clear" w:color="auto" w:fill="F9E1A3" w:themeFill="accent4" w:themeFillTint="66"/>
      </w:tcPr>
    </w:tblStylePr>
  </w:style>
  <w:style w:type="table" w:styleId="GridTable5Dark-Accent5">
    <w:name w:val="Grid Table 5 Dark Accent 5"/>
    <w:basedOn w:val="TableNormal"/>
    <w:rsid w:val="00B36B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5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939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939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939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9394" w:themeFill="accent5"/>
      </w:tcPr>
    </w:tblStylePr>
    <w:tblStylePr w:type="band1Vert">
      <w:tblPr/>
      <w:tcPr>
        <w:shd w:val="clear" w:color="auto" w:fill="8AEBEC" w:themeFill="accent5" w:themeFillTint="66"/>
      </w:tcPr>
    </w:tblStylePr>
    <w:tblStylePr w:type="band1Horz">
      <w:tblPr/>
      <w:tcPr>
        <w:shd w:val="clear" w:color="auto" w:fill="8AEBEC" w:themeFill="accent5" w:themeFillTint="66"/>
      </w:tcPr>
    </w:tblStylePr>
  </w:style>
  <w:style w:type="table" w:styleId="GridTable5Dark-Accent6">
    <w:name w:val="Grid Table 5 Dark Accent 6"/>
    <w:basedOn w:val="TableNormal"/>
    <w:rsid w:val="00B36B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7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6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6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6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673" w:themeFill="accent6"/>
      </w:tcPr>
    </w:tblStylePr>
    <w:tblStylePr w:type="band1Vert">
      <w:tblPr/>
      <w:tcPr>
        <w:shd w:val="clear" w:color="auto" w:fill="8EEFCC" w:themeFill="accent6" w:themeFillTint="66"/>
      </w:tcPr>
    </w:tblStylePr>
    <w:tblStylePr w:type="band1Horz">
      <w:tblPr/>
      <w:tcPr>
        <w:shd w:val="clear" w:color="auto" w:fill="8EEFCC" w:themeFill="accent6" w:themeFillTint="66"/>
      </w:tcPr>
    </w:tblStylePr>
  </w:style>
  <w:style w:type="table" w:styleId="GridTable6Colorful">
    <w:name w:val="Grid Table 6 Colorful"/>
    <w:basedOn w:val="TableNormal"/>
    <w:rsid w:val="00B36B4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rsid w:val="00B36B45"/>
    <w:pPr>
      <w:spacing w:after="0" w:line="240" w:lineRule="auto"/>
    </w:pPr>
    <w:rPr>
      <w:color w:val="081E36" w:themeColor="accent1" w:themeShade="BF"/>
    </w:r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bottom w:val="single" w:sz="12" w:space="0" w:color="217BDD" w:themeColor="accent1" w:themeTint="99"/>
        </w:tcBorders>
      </w:tcPr>
    </w:tblStylePr>
    <w:tblStylePr w:type="lastRow">
      <w:rPr>
        <w:b/>
        <w:bCs/>
      </w:rPr>
      <w:tblPr/>
      <w:tcPr>
        <w:tcBorders>
          <w:top w:val="doub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GridTable6Colorful-Accent2">
    <w:name w:val="Grid Table 6 Colorful Accent 2"/>
    <w:basedOn w:val="TableNormal"/>
    <w:rsid w:val="00B36B45"/>
    <w:pPr>
      <w:spacing w:after="0" w:line="240" w:lineRule="auto"/>
    </w:pPr>
    <w:rPr>
      <w:color w:val="9B201D" w:themeColor="accent2" w:themeShade="BF"/>
    </w:r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bottom w:val="single" w:sz="12" w:space="0" w:color="E67C79" w:themeColor="accent2" w:themeTint="99"/>
        </w:tcBorders>
      </w:tcPr>
    </w:tblStylePr>
    <w:tblStylePr w:type="lastRow">
      <w:rPr>
        <w:b/>
        <w:bCs/>
      </w:rPr>
      <w:tblPr/>
      <w:tcPr>
        <w:tcBorders>
          <w:top w:val="doub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6Colorful-Accent3">
    <w:name w:val="Grid Table 6 Colorful Accent 3"/>
    <w:basedOn w:val="TableNormal"/>
    <w:rsid w:val="00B36B45"/>
    <w:pPr>
      <w:spacing w:after="0" w:line="240" w:lineRule="auto"/>
    </w:pPr>
    <w:rPr>
      <w:color w:val="444D54" w:themeColor="accent3" w:themeShade="BF"/>
    </w:r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bottom w:val="single" w:sz="12" w:space="0" w:color="99A4AD" w:themeColor="accent3" w:themeTint="99"/>
        </w:tcBorders>
      </w:tcPr>
    </w:tblStylePr>
    <w:tblStylePr w:type="lastRow">
      <w:rPr>
        <w:b/>
        <w:bCs/>
      </w:rPr>
      <w:tblPr/>
      <w:tcPr>
        <w:tcBorders>
          <w:top w:val="doub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6Colorful-Accent4">
    <w:name w:val="Grid Table 6 Colorful Accent 4"/>
    <w:basedOn w:val="TableNormal"/>
    <w:rsid w:val="00B36B45"/>
    <w:pPr>
      <w:spacing w:after="0" w:line="240" w:lineRule="auto"/>
    </w:pPr>
    <w:rPr>
      <w:color w:val="BD8B0B" w:themeColor="accent4" w:themeShade="BF"/>
    </w:r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bottom w:val="single" w:sz="12" w:space="0" w:color="F6D276" w:themeColor="accent4" w:themeTint="99"/>
        </w:tcBorders>
      </w:tcPr>
    </w:tblStylePr>
    <w:tblStylePr w:type="lastRow">
      <w:rPr>
        <w:b/>
        <w:bCs/>
      </w:rPr>
      <w:tblPr/>
      <w:tcPr>
        <w:tcBorders>
          <w:top w:val="doub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6Colorful-Accent5">
    <w:name w:val="Grid Table 6 Colorful Accent 5"/>
    <w:basedOn w:val="TableNormal"/>
    <w:rsid w:val="00B36B45"/>
    <w:pPr>
      <w:spacing w:after="0" w:line="240" w:lineRule="auto"/>
    </w:pPr>
    <w:rPr>
      <w:color w:val="126D6E" w:themeColor="accent5" w:themeShade="BF"/>
    </w:r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bottom w:val="single" w:sz="12" w:space="0" w:color="50E1E2" w:themeColor="accent5" w:themeTint="99"/>
        </w:tcBorders>
      </w:tcPr>
    </w:tblStylePr>
    <w:tblStylePr w:type="lastRow">
      <w:rPr>
        <w:b/>
        <w:bCs/>
      </w:rPr>
      <w:tblPr/>
      <w:tcPr>
        <w:tcBorders>
          <w:top w:val="doub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6Colorful-Accent6">
    <w:name w:val="Grid Table 6 Colorful Accent 6"/>
    <w:basedOn w:val="TableNormal"/>
    <w:rsid w:val="00B36B45"/>
    <w:pPr>
      <w:spacing w:after="0" w:line="240" w:lineRule="auto"/>
    </w:pPr>
    <w:rPr>
      <w:color w:val="117C55" w:themeColor="accent6" w:themeShade="BF"/>
    </w:r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bottom w:val="single" w:sz="12" w:space="0" w:color="55E7B3" w:themeColor="accent6" w:themeTint="99"/>
        </w:tcBorders>
      </w:tcPr>
    </w:tblStylePr>
    <w:tblStylePr w:type="lastRow">
      <w:rPr>
        <w:b/>
        <w:bCs/>
      </w:rPr>
      <w:tblPr/>
      <w:tcPr>
        <w:tcBorders>
          <w:top w:val="doub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7Colorful">
    <w:name w:val="Grid Table 7 Colorful"/>
    <w:basedOn w:val="TableNormal"/>
    <w:rsid w:val="00B36B4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rsid w:val="00B36B45"/>
    <w:pPr>
      <w:spacing w:after="0" w:line="240" w:lineRule="auto"/>
    </w:pPr>
    <w:rPr>
      <w:color w:val="081E36" w:themeColor="accent1" w:themeShade="BF"/>
    </w:r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bottom w:val="single" w:sz="4" w:space="0" w:color="217BDD" w:themeColor="accent1" w:themeTint="99"/>
        </w:tcBorders>
      </w:tcPr>
    </w:tblStylePr>
    <w:tblStylePr w:type="nwCell">
      <w:tblPr/>
      <w:tcPr>
        <w:tcBorders>
          <w:bottom w:val="single" w:sz="4" w:space="0" w:color="217BDD" w:themeColor="accent1" w:themeTint="99"/>
        </w:tcBorders>
      </w:tcPr>
    </w:tblStylePr>
    <w:tblStylePr w:type="seCell">
      <w:tblPr/>
      <w:tcPr>
        <w:tcBorders>
          <w:top w:val="single" w:sz="4" w:space="0" w:color="217BDD" w:themeColor="accent1" w:themeTint="99"/>
        </w:tcBorders>
      </w:tcPr>
    </w:tblStylePr>
    <w:tblStylePr w:type="swCell">
      <w:tblPr/>
      <w:tcPr>
        <w:tcBorders>
          <w:top w:val="single" w:sz="4" w:space="0" w:color="217BDD" w:themeColor="accent1" w:themeTint="99"/>
        </w:tcBorders>
      </w:tcPr>
    </w:tblStylePr>
  </w:style>
  <w:style w:type="table" w:styleId="GridTable7Colorful-Accent2">
    <w:name w:val="Grid Table 7 Colorful Accent 2"/>
    <w:basedOn w:val="TableNormal"/>
    <w:rsid w:val="00B36B45"/>
    <w:pPr>
      <w:spacing w:after="0" w:line="240" w:lineRule="auto"/>
    </w:pPr>
    <w:rPr>
      <w:color w:val="9B201D" w:themeColor="accent2" w:themeShade="BF"/>
    </w:r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bottom w:val="single" w:sz="4" w:space="0" w:color="E67C79" w:themeColor="accent2" w:themeTint="99"/>
        </w:tcBorders>
      </w:tcPr>
    </w:tblStylePr>
    <w:tblStylePr w:type="nwCell">
      <w:tblPr/>
      <w:tcPr>
        <w:tcBorders>
          <w:bottom w:val="single" w:sz="4" w:space="0" w:color="E67C79" w:themeColor="accent2" w:themeTint="99"/>
        </w:tcBorders>
      </w:tcPr>
    </w:tblStylePr>
    <w:tblStylePr w:type="seCell">
      <w:tblPr/>
      <w:tcPr>
        <w:tcBorders>
          <w:top w:val="single" w:sz="4" w:space="0" w:color="E67C79" w:themeColor="accent2" w:themeTint="99"/>
        </w:tcBorders>
      </w:tcPr>
    </w:tblStylePr>
    <w:tblStylePr w:type="swCell">
      <w:tblPr/>
      <w:tcPr>
        <w:tcBorders>
          <w:top w:val="single" w:sz="4" w:space="0" w:color="E67C79" w:themeColor="accent2" w:themeTint="99"/>
        </w:tcBorders>
      </w:tcPr>
    </w:tblStylePr>
  </w:style>
  <w:style w:type="table" w:styleId="GridTable7Colorful-Accent3">
    <w:name w:val="Grid Table 7 Colorful Accent 3"/>
    <w:basedOn w:val="TableNormal"/>
    <w:rsid w:val="00B36B45"/>
    <w:pPr>
      <w:spacing w:after="0" w:line="240" w:lineRule="auto"/>
    </w:pPr>
    <w:rPr>
      <w:color w:val="444D54" w:themeColor="accent3" w:themeShade="BF"/>
    </w:r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bottom w:val="single" w:sz="4" w:space="0" w:color="99A4AD" w:themeColor="accent3" w:themeTint="99"/>
        </w:tcBorders>
      </w:tcPr>
    </w:tblStylePr>
    <w:tblStylePr w:type="nwCell">
      <w:tblPr/>
      <w:tcPr>
        <w:tcBorders>
          <w:bottom w:val="single" w:sz="4" w:space="0" w:color="99A4AD" w:themeColor="accent3" w:themeTint="99"/>
        </w:tcBorders>
      </w:tcPr>
    </w:tblStylePr>
    <w:tblStylePr w:type="seCell">
      <w:tblPr/>
      <w:tcPr>
        <w:tcBorders>
          <w:top w:val="single" w:sz="4" w:space="0" w:color="99A4AD" w:themeColor="accent3" w:themeTint="99"/>
        </w:tcBorders>
      </w:tcPr>
    </w:tblStylePr>
    <w:tblStylePr w:type="swCell">
      <w:tblPr/>
      <w:tcPr>
        <w:tcBorders>
          <w:top w:val="single" w:sz="4" w:space="0" w:color="99A4AD" w:themeColor="accent3" w:themeTint="99"/>
        </w:tcBorders>
      </w:tcPr>
    </w:tblStylePr>
  </w:style>
  <w:style w:type="table" w:styleId="GridTable7Colorful-Accent4">
    <w:name w:val="Grid Table 7 Colorful Accent 4"/>
    <w:basedOn w:val="TableNormal"/>
    <w:rsid w:val="00B36B45"/>
    <w:pPr>
      <w:spacing w:after="0" w:line="240" w:lineRule="auto"/>
    </w:pPr>
    <w:rPr>
      <w:color w:val="BD8B0B" w:themeColor="accent4" w:themeShade="BF"/>
    </w:r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bottom w:val="single" w:sz="4" w:space="0" w:color="F6D276" w:themeColor="accent4" w:themeTint="99"/>
        </w:tcBorders>
      </w:tcPr>
    </w:tblStylePr>
    <w:tblStylePr w:type="nwCell">
      <w:tblPr/>
      <w:tcPr>
        <w:tcBorders>
          <w:bottom w:val="single" w:sz="4" w:space="0" w:color="F6D276" w:themeColor="accent4" w:themeTint="99"/>
        </w:tcBorders>
      </w:tcPr>
    </w:tblStylePr>
    <w:tblStylePr w:type="seCell">
      <w:tblPr/>
      <w:tcPr>
        <w:tcBorders>
          <w:top w:val="single" w:sz="4" w:space="0" w:color="F6D276" w:themeColor="accent4" w:themeTint="99"/>
        </w:tcBorders>
      </w:tcPr>
    </w:tblStylePr>
    <w:tblStylePr w:type="swCell">
      <w:tblPr/>
      <w:tcPr>
        <w:tcBorders>
          <w:top w:val="single" w:sz="4" w:space="0" w:color="F6D276" w:themeColor="accent4" w:themeTint="99"/>
        </w:tcBorders>
      </w:tcPr>
    </w:tblStylePr>
  </w:style>
  <w:style w:type="table" w:styleId="GridTable7Colorful-Accent5">
    <w:name w:val="Grid Table 7 Colorful Accent 5"/>
    <w:basedOn w:val="TableNormal"/>
    <w:rsid w:val="00B36B45"/>
    <w:pPr>
      <w:spacing w:after="0" w:line="240" w:lineRule="auto"/>
    </w:pPr>
    <w:rPr>
      <w:color w:val="126D6E" w:themeColor="accent5" w:themeShade="BF"/>
    </w:r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bottom w:val="single" w:sz="4" w:space="0" w:color="50E1E2" w:themeColor="accent5" w:themeTint="99"/>
        </w:tcBorders>
      </w:tcPr>
    </w:tblStylePr>
    <w:tblStylePr w:type="nwCell">
      <w:tblPr/>
      <w:tcPr>
        <w:tcBorders>
          <w:bottom w:val="single" w:sz="4" w:space="0" w:color="50E1E2" w:themeColor="accent5" w:themeTint="99"/>
        </w:tcBorders>
      </w:tcPr>
    </w:tblStylePr>
    <w:tblStylePr w:type="seCell">
      <w:tblPr/>
      <w:tcPr>
        <w:tcBorders>
          <w:top w:val="single" w:sz="4" w:space="0" w:color="50E1E2" w:themeColor="accent5" w:themeTint="99"/>
        </w:tcBorders>
      </w:tcPr>
    </w:tblStylePr>
    <w:tblStylePr w:type="swCell">
      <w:tblPr/>
      <w:tcPr>
        <w:tcBorders>
          <w:top w:val="single" w:sz="4" w:space="0" w:color="50E1E2" w:themeColor="accent5" w:themeTint="99"/>
        </w:tcBorders>
      </w:tcPr>
    </w:tblStylePr>
  </w:style>
  <w:style w:type="table" w:styleId="GridTable7Colorful-Accent6">
    <w:name w:val="Grid Table 7 Colorful Accent 6"/>
    <w:basedOn w:val="TableNormal"/>
    <w:rsid w:val="00B36B45"/>
    <w:pPr>
      <w:spacing w:after="0" w:line="240" w:lineRule="auto"/>
    </w:pPr>
    <w:rPr>
      <w:color w:val="117C55" w:themeColor="accent6" w:themeShade="BF"/>
    </w:r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bottom w:val="single" w:sz="4" w:space="0" w:color="55E7B3" w:themeColor="accent6" w:themeTint="99"/>
        </w:tcBorders>
      </w:tcPr>
    </w:tblStylePr>
    <w:tblStylePr w:type="nwCell">
      <w:tblPr/>
      <w:tcPr>
        <w:tcBorders>
          <w:bottom w:val="single" w:sz="4" w:space="0" w:color="55E7B3" w:themeColor="accent6" w:themeTint="99"/>
        </w:tcBorders>
      </w:tcPr>
    </w:tblStylePr>
    <w:tblStylePr w:type="seCell">
      <w:tblPr/>
      <w:tcPr>
        <w:tcBorders>
          <w:top w:val="single" w:sz="4" w:space="0" w:color="55E7B3" w:themeColor="accent6" w:themeTint="99"/>
        </w:tcBorders>
      </w:tcPr>
    </w:tblStylePr>
    <w:tblStylePr w:type="swCell">
      <w:tblPr/>
      <w:tcPr>
        <w:tcBorders>
          <w:top w:val="single" w:sz="4" w:space="0" w:color="55E7B3" w:themeColor="accent6" w:themeTint="99"/>
        </w:tcBorders>
      </w:tcPr>
    </w:tblStylePr>
  </w:style>
  <w:style w:type="character" w:styleId="Hashtag">
    <w:name w:val="Hashtag"/>
    <w:basedOn w:val="DefaultParagraphFont"/>
    <w:qFormat/>
    <w:rsid w:val="00AF1C85"/>
    <w:rPr>
      <w:color w:val="2B579A"/>
      <w:shd w:val="clear" w:color="auto" w:fill="E1DFDD"/>
    </w:rPr>
  </w:style>
  <w:style w:type="character" w:styleId="HTMLAcronym">
    <w:name w:val="HTML Acronym"/>
    <w:basedOn w:val="DefaultParagraphFont"/>
    <w:qFormat/>
    <w:rsid w:val="00AF1C85"/>
  </w:style>
  <w:style w:type="paragraph" w:styleId="HTMLAddress">
    <w:name w:val="HTML Address"/>
    <w:basedOn w:val="Normal"/>
    <w:link w:val="HTMLAddressChar"/>
    <w:qFormat/>
    <w:rsid w:val="00B36B45"/>
    <w:pPr>
      <w:spacing w:after="0" w:line="240" w:lineRule="auto"/>
    </w:pPr>
    <w:rPr>
      <w:i/>
      <w:iCs/>
    </w:rPr>
  </w:style>
  <w:style w:type="character" w:customStyle="1" w:styleId="HTMLAddressChar">
    <w:name w:val="HTML Address Char"/>
    <w:basedOn w:val="DefaultParagraphFont"/>
    <w:link w:val="HTMLAddress"/>
    <w:rsid w:val="00B36B45"/>
    <w:rPr>
      <w:i/>
      <w:iCs/>
    </w:rPr>
  </w:style>
  <w:style w:type="character" w:styleId="HTMLCite">
    <w:name w:val="HTML Cite"/>
    <w:basedOn w:val="DefaultParagraphFont"/>
    <w:qFormat/>
    <w:rsid w:val="00AF1C85"/>
    <w:rPr>
      <w:i/>
      <w:iCs/>
    </w:rPr>
  </w:style>
  <w:style w:type="character" w:styleId="HTMLCode">
    <w:name w:val="HTML Code"/>
    <w:basedOn w:val="DefaultParagraphFont"/>
    <w:qFormat/>
    <w:rsid w:val="00AF1C85"/>
    <w:rPr>
      <w:rFonts w:ascii="Consolas" w:hAnsi="Consolas"/>
      <w:sz w:val="20"/>
      <w:szCs w:val="20"/>
    </w:rPr>
  </w:style>
  <w:style w:type="character" w:styleId="HTMLDefinition">
    <w:name w:val="HTML Definition"/>
    <w:basedOn w:val="DefaultParagraphFont"/>
    <w:qFormat/>
    <w:rsid w:val="00AF1C85"/>
    <w:rPr>
      <w:i/>
      <w:iCs/>
    </w:rPr>
  </w:style>
  <w:style w:type="character" w:styleId="HTMLKeyboard">
    <w:name w:val="HTML Keyboard"/>
    <w:basedOn w:val="DefaultParagraphFont"/>
    <w:qFormat/>
    <w:rsid w:val="00AF1C85"/>
    <w:rPr>
      <w:rFonts w:ascii="Consolas" w:hAnsi="Consolas"/>
      <w:sz w:val="20"/>
      <w:szCs w:val="20"/>
    </w:rPr>
  </w:style>
  <w:style w:type="paragraph" w:styleId="HTMLPreformatted">
    <w:name w:val="HTML Preformatted"/>
    <w:basedOn w:val="Normal"/>
    <w:link w:val="HTMLPreformattedChar"/>
    <w:qFormat/>
    <w:rsid w:val="00B36B45"/>
    <w:pPr>
      <w:spacing w:after="0" w:line="240" w:lineRule="auto"/>
    </w:pPr>
    <w:rPr>
      <w:rFonts w:ascii="Consolas" w:hAnsi="Consolas"/>
      <w:szCs w:val="20"/>
    </w:rPr>
  </w:style>
  <w:style w:type="character" w:customStyle="1" w:styleId="HTMLPreformattedChar">
    <w:name w:val="HTML Preformatted Char"/>
    <w:basedOn w:val="DefaultParagraphFont"/>
    <w:link w:val="HTMLPreformatted"/>
    <w:rsid w:val="00B36B45"/>
    <w:rPr>
      <w:rFonts w:ascii="Consolas" w:hAnsi="Consolas"/>
      <w:sz w:val="20"/>
      <w:szCs w:val="20"/>
    </w:rPr>
  </w:style>
  <w:style w:type="character" w:styleId="HTMLSample">
    <w:name w:val="HTML Sample"/>
    <w:basedOn w:val="DefaultParagraphFont"/>
    <w:qFormat/>
    <w:rsid w:val="00AF1C85"/>
    <w:rPr>
      <w:rFonts w:ascii="Consolas" w:hAnsi="Consolas"/>
      <w:sz w:val="24"/>
      <w:szCs w:val="24"/>
    </w:rPr>
  </w:style>
  <w:style w:type="character" w:styleId="HTMLTypewriter">
    <w:name w:val="HTML Typewriter"/>
    <w:basedOn w:val="DefaultParagraphFont"/>
    <w:unhideWhenUsed/>
    <w:qFormat/>
    <w:rsid w:val="00AF1C85"/>
    <w:rPr>
      <w:rFonts w:ascii="Consolas" w:hAnsi="Consolas"/>
      <w:sz w:val="20"/>
      <w:szCs w:val="20"/>
    </w:rPr>
  </w:style>
  <w:style w:type="character" w:styleId="HTMLVariable">
    <w:name w:val="HTML Variable"/>
    <w:basedOn w:val="DefaultParagraphFont"/>
    <w:unhideWhenUsed/>
    <w:qFormat/>
    <w:rsid w:val="00AF1C85"/>
    <w:rPr>
      <w:i/>
      <w:iCs/>
    </w:rPr>
  </w:style>
  <w:style w:type="paragraph" w:styleId="Index2">
    <w:name w:val="index 2"/>
    <w:basedOn w:val="Normal"/>
    <w:next w:val="Normal"/>
    <w:autoRedefine/>
    <w:qFormat/>
    <w:rsid w:val="00B36B45"/>
    <w:pPr>
      <w:spacing w:after="0" w:line="240" w:lineRule="auto"/>
      <w:ind w:left="440" w:hanging="220"/>
    </w:pPr>
  </w:style>
  <w:style w:type="paragraph" w:styleId="Index3">
    <w:name w:val="index 3"/>
    <w:basedOn w:val="Normal"/>
    <w:next w:val="Normal"/>
    <w:autoRedefine/>
    <w:qFormat/>
    <w:rsid w:val="00B36B45"/>
    <w:pPr>
      <w:spacing w:after="0" w:line="240" w:lineRule="auto"/>
      <w:ind w:left="660" w:hanging="220"/>
    </w:pPr>
  </w:style>
  <w:style w:type="paragraph" w:styleId="Index4">
    <w:name w:val="index 4"/>
    <w:basedOn w:val="Normal"/>
    <w:next w:val="Normal"/>
    <w:autoRedefine/>
    <w:qFormat/>
    <w:rsid w:val="00B36B45"/>
    <w:pPr>
      <w:spacing w:after="0" w:line="240" w:lineRule="auto"/>
      <w:ind w:left="880" w:hanging="220"/>
    </w:pPr>
  </w:style>
  <w:style w:type="paragraph" w:styleId="Index5">
    <w:name w:val="index 5"/>
    <w:basedOn w:val="Normal"/>
    <w:next w:val="Normal"/>
    <w:autoRedefine/>
    <w:qFormat/>
    <w:rsid w:val="00B36B45"/>
    <w:pPr>
      <w:spacing w:after="0" w:line="240" w:lineRule="auto"/>
      <w:ind w:left="1100" w:hanging="220"/>
    </w:pPr>
  </w:style>
  <w:style w:type="paragraph" w:styleId="Index6">
    <w:name w:val="index 6"/>
    <w:basedOn w:val="Normal"/>
    <w:next w:val="Normal"/>
    <w:autoRedefine/>
    <w:qFormat/>
    <w:rsid w:val="00B36B45"/>
    <w:pPr>
      <w:spacing w:after="0" w:line="240" w:lineRule="auto"/>
      <w:ind w:left="1320" w:hanging="220"/>
    </w:pPr>
  </w:style>
  <w:style w:type="paragraph" w:styleId="Index7">
    <w:name w:val="index 7"/>
    <w:basedOn w:val="Normal"/>
    <w:next w:val="Normal"/>
    <w:autoRedefine/>
    <w:qFormat/>
    <w:rsid w:val="00B36B45"/>
    <w:pPr>
      <w:spacing w:after="0" w:line="240" w:lineRule="auto"/>
      <w:ind w:left="1540" w:hanging="220"/>
    </w:pPr>
  </w:style>
  <w:style w:type="paragraph" w:styleId="Index8">
    <w:name w:val="index 8"/>
    <w:basedOn w:val="Normal"/>
    <w:next w:val="Normal"/>
    <w:autoRedefine/>
    <w:qFormat/>
    <w:rsid w:val="00B36B45"/>
    <w:pPr>
      <w:spacing w:after="0" w:line="240" w:lineRule="auto"/>
      <w:ind w:left="1760" w:hanging="220"/>
    </w:pPr>
  </w:style>
  <w:style w:type="paragraph" w:styleId="Index9">
    <w:name w:val="index 9"/>
    <w:basedOn w:val="Normal"/>
    <w:next w:val="Normal"/>
    <w:autoRedefine/>
    <w:qFormat/>
    <w:rsid w:val="00B36B45"/>
    <w:pPr>
      <w:spacing w:after="0" w:line="240" w:lineRule="auto"/>
      <w:ind w:left="1980" w:hanging="220"/>
    </w:pPr>
  </w:style>
  <w:style w:type="character" w:styleId="IntenseEmphasis">
    <w:name w:val="Intense Emphasis"/>
    <w:basedOn w:val="DefaultParagraphFont"/>
    <w:qFormat/>
    <w:rsid w:val="00AF1C85"/>
    <w:rPr>
      <w:i/>
      <w:iCs/>
      <w:color w:val="0B2949" w:themeColor="accent1"/>
    </w:rPr>
  </w:style>
  <w:style w:type="paragraph" w:styleId="IntenseQuote">
    <w:name w:val="Intense Quote"/>
    <w:basedOn w:val="Normal"/>
    <w:next w:val="Normal"/>
    <w:link w:val="IntenseQuoteChar"/>
    <w:qFormat/>
    <w:rsid w:val="00B36B45"/>
    <w:pPr>
      <w:pBdr>
        <w:top w:val="single" w:sz="4" w:space="10" w:color="0B2949" w:themeColor="accent1"/>
        <w:bottom w:val="single" w:sz="4" w:space="10" w:color="0B2949" w:themeColor="accent1"/>
      </w:pBdr>
      <w:spacing w:before="360" w:after="360"/>
      <w:ind w:left="864" w:right="864"/>
      <w:jc w:val="center"/>
    </w:pPr>
    <w:rPr>
      <w:i/>
      <w:iCs/>
      <w:color w:val="0B2949" w:themeColor="accent1"/>
    </w:rPr>
  </w:style>
  <w:style w:type="character" w:customStyle="1" w:styleId="IntenseQuoteChar">
    <w:name w:val="Intense Quote Char"/>
    <w:basedOn w:val="DefaultParagraphFont"/>
    <w:link w:val="IntenseQuote"/>
    <w:rsid w:val="00B36B45"/>
    <w:rPr>
      <w:i/>
      <w:iCs/>
      <w:color w:val="0B2949" w:themeColor="accent1"/>
    </w:rPr>
  </w:style>
  <w:style w:type="character" w:styleId="IntenseReference">
    <w:name w:val="Intense Reference"/>
    <w:basedOn w:val="DefaultParagraphFont"/>
    <w:qFormat/>
    <w:rsid w:val="00AF1C85"/>
    <w:rPr>
      <w:b/>
      <w:bCs/>
      <w:smallCaps/>
      <w:color w:val="0B2949" w:themeColor="accent1"/>
      <w:spacing w:val="5"/>
    </w:rPr>
  </w:style>
  <w:style w:type="table" w:styleId="LightGrid">
    <w:name w:val="Light Grid"/>
    <w:basedOn w:val="TableNormal"/>
    <w:unhideWhenUsed/>
    <w:rsid w:val="00B36B4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nhideWhenUsed/>
    <w:rsid w:val="00B36B45"/>
    <w:pPr>
      <w:spacing w:after="0" w:line="240" w:lineRule="auto"/>
    </w:p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insideH w:val="single" w:sz="8" w:space="0" w:color="0B2949" w:themeColor="accent1"/>
        <w:insideV w:val="single" w:sz="8" w:space="0" w:color="0B294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2949" w:themeColor="accent1"/>
          <w:left w:val="single" w:sz="8" w:space="0" w:color="0B2949" w:themeColor="accent1"/>
          <w:bottom w:val="single" w:sz="18" w:space="0" w:color="0B2949" w:themeColor="accent1"/>
          <w:right w:val="single" w:sz="8" w:space="0" w:color="0B2949" w:themeColor="accent1"/>
          <w:insideH w:val="nil"/>
          <w:insideV w:val="single" w:sz="8" w:space="0" w:color="0B29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2949" w:themeColor="accent1"/>
          <w:left w:val="single" w:sz="8" w:space="0" w:color="0B2949" w:themeColor="accent1"/>
          <w:bottom w:val="single" w:sz="8" w:space="0" w:color="0B2949" w:themeColor="accent1"/>
          <w:right w:val="single" w:sz="8" w:space="0" w:color="0B2949" w:themeColor="accent1"/>
          <w:insideH w:val="nil"/>
          <w:insideV w:val="single" w:sz="8" w:space="0" w:color="0B29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tblStylePr w:type="band1Vert">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shd w:val="clear" w:color="auto" w:fill="A3C8F1" w:themeFill="accent1" w:themeFillTint="3F"/>
      </w:tcPr>
    </w:tblStylePr>
    <w:tblStylePr w:type="band1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insideV w:val="single" w:sz="8" w:space="0" w:color="0B2949" w:themeColor="accent1"/>
        </w:tcBorders>
        <w:shd w:val="clear" w:color="auto" w:fill="A3C8F1" w:themeFill="accent1" w:themeFillTint="3F"/>
      </w:tcPr>
    </w:tblStylePr>
    <w:tblStylePr w:type="band2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insideV w:val="single" w:sz="8" w:space="0" w:color="0B2949" w:themeColor="accent1"/>
        </w:tcBorders>
      </w:tcPr>
    </w:tblStylePr>
  </w:style>
  <w:style w:type="table" w:styleId="LightGrid-Accent2">
    <w:name w:val="Light Grid Accent 2"/>
    <w:basedOn w:val="TableNormal"/>
    <w:unhideWhenUsed/>
    <w:rsid w:val="00B36B45"/>
    <w:pPr>
      <w:spacing w:after="0" w:line="240" w:lineRule="auto"/>
    </w:p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insideH w:val="single" w:sz="8" w:space="0" w:color="D02B27" w:themeColor="accent2"/>
        <w:insideV w:val="single" w:sz="8" w:space="0" w:color="D02B2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B27" w:themeColor="accent2"/>
          <w:left w:val="single" w:sz="8" w:space="0" w:color="D02B27" w:themeColor="accent2"/>
          <w:bottom w:val="single" w:sz="18" w:space="0" w:color="D02B27" w:themeColor="accent2"/>
          <w:right w:val="single" w:sz="8" w:space="0" w:color="D02B27" w:themeColor="accent2"/>
          <w:insideH w:val="nil"/>
          <w:insideV w:val="single" w:sz="8" w:space="0" w:color="D02B2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B27" w:themeColor="accent2"/>
          <w:left w:val="single" w:sz="8" w:space="0" w:color="D02B27" w:themeColor="accent2"/>
          <w:bottom w:val="single" w:sz="8" w:space="0" w:color="D02B27" w:themeColor="accent2"/>
          <w:right w:val="single" w:sz="8" w:space="0" w:color="D02B27" w:themeColor="accent2"/>
          <w:insideH w:val="nil"/>
          <w:insideV w:val="single" w:sz="8" w:space="0" w:color="D02B2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tblStylePr w:type="band1Vert">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shd w:val="clear" w:color="auto" w:fill="F4C9C8" w:themeFill="accent2" w:themeFillTint="3F"/>
      </w:tcPr>
    </w:tblStylePr>
    <w:tblStylePr w:type="band1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insideV w:val="single" w:sz="8" w:space="0" w:color="D02B27" w:themeColor="accent2"/>
        </w:tcBorders>
        <w:shd w:val="clear" w:color="auto" w:fill="F4C9C8" w:themeFill="accent2" w:themeFillTint="3F"/>
      </w:tcPr>
    </w:tblStylePr>
    <w:tblStylePr w:type="band2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insideV w:val="single" w:sz="8" w:space="0" w:color="D02B27" w:themeColor="accent2"/>
        </w:tcBorders>
      </w:tcPr>
    </w:tblStylePr>
  </w:style>
  <w:style w:type="table" w:styleId="LightGrid-Accent3">
    <w:name w:val="Light Grid Accent 3"/>
    <w:basedOn w:val="TableNormal"/>
    <w:unhideWhenUsed/>
    <w:rsid w:val="00B36B45"/>
    <w:pPr>
      <w:spacing w:after="0" w:line="240" w:lineRule="auto"/>
    </w:p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insideH w:val="single" w:sz="8" w:space="0" w:color="5B6771" w:themeColor="accent3"/>
        <w:insideV w:val="single" w:sz="8" w:space="0" w:color="5B677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6771" w:themeColor="accent3"/>
          <w:left w:val="single" w:sz="8" w:space="0" w:color="5B6771" w:themeColor="accent3"/>
          <w:bottom w:val="single" w:sz="18" w:space="0" w:color="5B6771" w:themeColor="accent3"/>
          <w:right w:val="single" w:sz="8" w:space="0" w:color="5B6771" w:themeColor="accent3"/>
          <w:insideH w:val="nil"/>
          <w:insideV w:val="single" w:sz="8" w:space="0" w:color="5B677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6771" w:themeColor="accent3"/>
          <w:left w:val="single" w:sz="8" w:space="0" w:color="5B6771" w:themeColor="accent3"/>
          <w:bottom w:val="single" w:sz="8" w:space="0" w:color="5B6771" w:themeColor="accent3"/>
          <w:right w:val="single" w:sz="8" w:space="0" w:color="5B6771" w:themeColor="accent3"/>
          <w:insideH w:val="nil"/>
          <w:insideV w:val="single" w:sz="8" w:space="0" w:color="5B677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tblStylePr w:type="band1Vert">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shd w:val="clear" w:color="auto" w:fill="D5D9DD" w:themeFill="accent3" w:themeFillTint="3F"/>
      </w:tcPr>
    </w:tblStylePr>
    <w:tblStylePr w:type="band1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insideV w:val="single" w:sz="8" w:space="0" w:color="5B6771" w:themeColor="accent3"/>
        </w:tcBorders>
        <w:shd w:val="clear" w:color="auto" w:fill="D5D9DD" w:themeFill="accent3" w:themeFillTint="3F"/>
      </w:tcPr>
    </w:tblStylePr>
    <w:tblStylePr w:type="band2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insideV w:val="single" w:sz="8" w:space="0" w:color="5B6771" w:themeColor="accent3"/>
        </w:tcBorders>
      </w:tcPr>
    </w:tblStylePr>
  </w:style>
  <w:style w:type="table" w:styleId="LightGrid-Accent4">
    <w:name w:val="Light Grid Accent 4"/>
    <w:basedOn w:val="TableNormal"/>
    <w:unhideWhenUsed/>
    <w:rsid w:val="00B36B45"/>
    <w:pPr>
      <w:spacing w:after="0" w:line="240" w:lineRule="auto"/>
    </w:p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insideH w:val="single" w:sz="8" w:space="0" w:color="F1B51C" w:themeColor="accent4"/>
        <w:insideV w:val="single" w:sz="8" w:space="0" w:color="F1B51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B51C" w:themeColor="accent4"/>
          <w:left w:val="single" w:sz="8" w:space="0" w:color="F1B51C" w:themeColor="accent4"/>
          <w:bottom w:val="single" w:sz="18" w:space="0" w:color="F1B51C" w:themeColor="accent4"/>
          <w:right w:val="single" w:sz="8" w:space="0" w:color="F1B51C" w:themeColor="accent4"/>
          <w:insideH w:val="nil"/>
          <w:insideV w:val="single" w:sz="8" w:space="0" w:color="F1B51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B51C" w:themeColor="accent4"/>
          <w:left w:val="single" w:sz="8" w:space="0" w:color="F1B51C" w:themeColor="accent4"/>
          <w:bottom w:val="single" w:sz="8" w:space="0" w:color="F1B51C" w:themeColor="accent4"/>
          <w:right w:val="single" w:sz="8" w:space="0" w:color="F1B51C" w:themeColor="accent4"/>
          <w:insideH w:val="nil"/>
          <w:insideV w:val="single" w:sz="8" w:space="0" w:color="F1B51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tblStylePr w:type="band1Vert">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shd w:val="clear" w:color="auto" w:fill="FBECC6" w:themeFill="accent4" w:themeFillTint="3F"/>
      </w:tcPr>
    </w:tblStylePr>
    <w:tblStylePr w:type="band1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insideV w:val="single" w:sz="8" w:space="0" w:color="F1B51C" w:themeColor="accent4"/>
        </w:tcBorders>
        <w:shd w:val="clear" w:color="auto" w:fill="FBECC6" w:themeFill="accent4" w:themeFillTint="3F"/>
      </w:tcPr>
    </w:tblStylePr>
    <w:tblStylePr w:type="band2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insideV w:val="single" w:sz="8" w:space="0" w:color="F1B51C" w:themeColor="accent4"/>
        </w:tcBorders>
      </w:tcPr>
    </w:tblStylePr>
  </w:style>
  <w:style w:type="table" w:styleId="LightGrid-Accent5">
    <w:name w:val="Light Grid Accent 5"/>
    <w:basedOn w:val="TableNormal"/>
    <w:unhideWhenUsed/>
    <w:rsid w:val="00B36B45"/>
    <w:pPr>
      <w:spacing w:after="0" w:line="240" w:lineRule="auto"/>
    </w:p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insideH w:val="single" w:sz="8" w:space="0" w:color="189394" w:themeColor="accent5"/>
        <w:insideV w:val="single" w:sz="8" w:space="0" w:color="18939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9394" w:themeColor="accent5"/>
          <w:left w:val="single" w:sz="8" w:space="0" w:color="189394" w:themeColor="accent5"/>
          <w:bottom w:val="single" w:sz="18" w:space="0" w:color="189394" w:themeColor="accent5"/>
          <w:right w:val="single" w:sz="8" w:space="0" w:color="189394" w:themeColor="accent5"/>
          <w:insideH w:val="nil"/>
          <w:insideV w:val="single" w:sz="8" w:space="0" w:color="18939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9394" w:themeColor="accent5"/>
          <w:left w:val="single" w:sz="8" w:space="0" w:color="189394" w:themeColor="accent5"/>
          <w:bottom w:val="single" w:sz="8" w:space="0" w:color="189394" w:themeColor="accent5"/>
          <w:right w:val="single" w:sz="8" w:space="0" w:color="189394" w:themeColor="accent5"/>
          <w:insideH w:val="nil"/>
          <w:insideV w:val="single" w:sz="8" w:space="0" w:color="18939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tblStylePr w:type="band1Vert">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shd w:val="clear" w:color="auto" w:fill="B7F2F3" w:themeFill="accent5" w:themeFillTint="3F"/>
      </w:tcPr>
    </w:tblStylePr>
    <w:tblStylePr w:type="band1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insideV w:val="single" w:sz="8" w:space="0" w:color="189394" w:themeColor="accent5"/>
        </w:tcBorders>
        <w:shd w:val="clear" w:color="auto" w:fill="B7F2F3" w:themeFill="accent5" w:themeFillTint="3F"/>
      </w:tcPr>
    </w:tblStylePr>
    <w:tblStylePr w:type="band2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insideV w:val="single" w:sz="8" w:space="0" w:color="189394" w:themeColor="accent5"/>
        </w:tcBorders>
      </w:tcPr>
    </w:tblStylePr>
  </w:style>
  <w:style w:type="table" w:styleId="LightGrid-Accent6">
    <w:name w:val="Light Grid Accent 6"/>
    <w:basedOn w:val="TableNormal"/>
    <w:unhideWhenUsed/>
    <w:rsid w:val="00B36B45"/>
    <w:pPr>
      <w:spacing w:after="0" w:line="240" w:lineRule="auto"/>
    </w:p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insideH w:val="single" w:sz="8" w:space="0" w:color="17A673" w:themeColor="accent6"/>
        <w:insideV w:val="single" w:sz="8" w:space="0" w:color="17A6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A673" w:themeColor="accent6"/>
          <w:left w:val="single" w:sz="8" w:space="0" w:color="17A673" w:themeColor="accent6"/>
          <w:bottom w:val="single" w:sz="18" w:space="0" w:color="17A673" w:themeColor="accent6"/>
          <w:right w:val="single" w:sz="8" w:space="0" w:color="17A673" w:themeColor="accent6"/>
          <w:insideH w:val="nil"/>
          <w:insideV w:val="single" w:sz="8" w:space="0" w:color="17A6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673" w:themeColor="accent6"/>
          <w:left w:val="single" w:sz="8" w:space="0" w:color="17A673" w:themeColor="accent6"/>
          <w:bottom w:val="single" w:sz="8" w:space="0" w:color="17A673" w:themeColor="accent6"/>
          <w:right w:val="single" w:sz="8" w:space="0" w:color="17A673" w:themeColor="accent6"/>
          <w:insideH w:val="nil"/>
          <w:insideV w:val="single" w:sz="8" w:space="0" w:color="17A6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tblStylePr w:type="band1Vert">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shd w:val="clear" w:color="auto" w:fill="B9F5DF" w:themeFill="accent6" w:themeFillTint="3F"/>
      </w:tcPr>
    </w:tblStylePr>
    <w:tblStylePr w:type="band1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insideV w:val="single" w:sz="8" w:space="0" w:color="17A673" w:themeColor="accent6"/>
        </w:tcBorders>
        <w:shd w:val="clear" w:color="auto" w:fill="B9F5DF" w:themeFill="accent6" w:themeFillTint="3F"/>
      </w:tcPr>
    </w:tblStylePr>
    <w:tblStylePr w:type="band2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insideV w:val="single" w:sz="8" w:space="0" w:color="17A673" w:themeColor="accent6"/>
        </w:tcBorders>
      </w:tcPr>
    </w:tblStylePr>
  </w:style>
  <w:style w:type="table" w:styleId="LightList">
    <w:name w:val="Light List"/>
    <w:basedOn w:val="TableNormal"/>
    <w:unhideWhenUsed/>
    <w:rsid w:val="00B36B4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nhideWhenUsed/>
    <w:rsid w:val="00B36B45"/>
    <w:pPr>
      <w:spacing w:after="0" w:line="240" w:lineRule="auto"/>
    </w:p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tblBorders>
    </w:tblPr>
    <w:tblStylePr w:type="firstRow">
      <w:pPr>
        <w:spacing w:before="0" w:after="0" w:line="240" w:lineRule="auto"/>
      </w:pPr>
      <w:rPr>
        <w:b/>
        <w:bCs/>
        <w:color w:val="FFFFFF" w:themeColor="background1"/>
      </w:rPr>
      <w:tblPr/>
      <w:tcPr>
        <w:shd w:val="clear" w:color="auto" w:fill="0B2949" w:themeFill="accent1"/>
      </w:tcPr>
    </w:tblStylePr>
    <w:tblStylePr w:type="lastRow">
      <w:pPr>
        <w:spacing w:before="0" w:after="0" w:line="240" w:lineRule="auto"/>
      </w:pPr>
      <w:rPr>
        <w:b/>
        <w:bCs/>
      </w:rPr>
      <w:tblPr/>
      <w:tcPr>
        <w:tcBorders>
          <w:top w:val="double" w:sz="6" w:space="0" w:color="0B2949" w:themeColor="accent1"/>
          <w:left w:val="single" w:sz="8" w:space="0" w:color="0B2949" w:themeColor="accent1"/>
          <w:bottom w:val="single" w:sz="8" w:space="0" w:color="0B2949" w:themeColor="accent1"/>
          <w:right w:val="single" w:sz="8" w:space="0" w:color="0B2949" w:themeColor="accent1"/>
        </w:tcBorders>
      </w:tcPr>
    </w:tblStylePr>
    <w:tblStylePr w:type="firstCol">
      <w:rPr>
        <w:b/>
        <w:bCs/>
      </w:rPr>
    </w:tblStylePr>
    <w:tblStylePr w:type="lastCol">
      <w:rPr>
        <w:b/>
        <w:bCs/>
      </w:rPr>
    </w:tblStylePr>
    <w:tblStylePr w:type="band1Vert">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tblStylePr w:type="band1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style>
  <w:style w:type="table" w:styleId="LightList-Accent2">
    <w:name w:val="Light List Accent 2"/>
    <w:basedOn w:val="TableNormal"/>
    <w:unhideWhenUsed/>
    <w:rsid w:val="00B36B45"/>
    <w:pPr>
      <w:spacing w:after="0" w:line="240" w:lineRule="auto"/>
    </w:p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tblBorders>
    </w:tblPr>
    <w:tblStylePr w:type="firstRow">
      <w:pPr>
        <w:spacing w:before="0" w:after="0" w:line="240" w:lineRule="auto"/>
      </w:pPr>
      <w:rPr>
        <w:b/>
        <w:bCs/>
        <w:color w:val="FFFFFF" w:themeColor="background1"/>
      </w:rPr>
      <w:tblPr/>
      <w:tcPr>
        <w:shd w:val="clear" w:color="auto" w:fill="D02B27" w:themeFill="accent2"/>
      </w:tcPr>
    </w:tblStylePr>
    <w:tblStylePr w:type="lastRow">
      <w:pPr>
        <w:spacing w:before="0" w:after="0" w:line="240" w:lineRule="auto"/>
      </w:pPr>
      <w:rPr>
        <w:b/>
        <w:bCs/>
      </w:rPr>
      <w:tblPr/>
      <w:tcPr>
        <w:tcBorders>
          <w:top w:val="double" w:sz="6" w:space="0" w:color="D02B27" w:themeColor="accent2"/>
          <w:left w:val="single" w:sz="8" w:space="0" w:color="D02B27" w:themeColor="accent2"/>
          <w:bottom w:val="single" w:sz="8" w:space="0" w:color="D02B27" w:themeColor="accent2"/>
          <w:right w:val="single" w:sz="8" w:space="0" w:color="D02B27" w:themeColor="accent2"/>
        </w:tcBorders>
      </w:tcPr>
    </w:tblStylePr>
    <w:tblStylePr w:type="firstCol">
      <w:rPr>
        <w:b/>
        <w:bCs/>
      </w:rPr>
    </w:tblStylePr>
    <w:tblStylePr w:type="lastCol">
      <w:rPr>
        <w:b/>
        <w:bCs/>
      </w:rPr>
    </w:tblStylePr>
    <w:tblStylePr w:type="band1Vert">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tblStylePr w:type="band1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style>
  <w:style w:type="table" w:styleId="LightList-Accent3">
    <w:name w:val="Light List Accent 3"/>
    <w:basedOn w:val="TableNormal"/>
    <w:unhideWhenUsed/>
    <w:rsid w:val="00B36B45"/>
    <w:pPr>
      <w:spacing w:after="0" w:line="240" w:lineRule="auto"/>
    </w:p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tblBorders>
    </w:tblPr>
    <w:tblStylePr w:type="firstRow">
      <w:pPr>
        <w:spacing w:before="0" w:after="0" w:line="240" w:lineRule="auto"/>
      </w:pPr>
      <w:rPr>
        <w:b/>
        <w:bCs/>
        <w:color w:val="FFFFFF" w:themeColor="background1"/>
      </w:rPr>
      <w:tblPr/>
      <w:tcPr>
        <w:shd w:val="clear" w:color="auto" w:fill="5B6771" w:themeFill="accent3"/>
      </w:tcPr>
    </w:tblStylePr>
    <w:tblStylePr w:type="lastRow">
      <w:pPr>
        <w:spacing w:before="0" w:after="0" w:line="240" w:lineRule="auto"/>
      </w:pPr>
      <w:rPr>
        <w:b/>
        <w:bCs/>
      </w:rPr>
      <w:tblPr/>
      <w:tcPr>
        <w:tcBorders>
          <w:top w:val="double" w:sz="6" w:space="0" w:color="5B6771" w:themeColor="accent3"/>
          <w:left w:val="single" w:sz="8" w:space="0" w:color="5B6771" w:themeColor="accent3"/>
          <w:bottom w:val="single" w:sz="8" w:space="0" w:color="5B6771" w:themeColor="accent3"/>
          <w:right w:val="single" w:sz="8" w:space="0" w:color="5B6771" w:themeColor="accent3"/>
        </w:tcBorders>
      </w:tcPr>
    </w:tblStylePr>
    <w:tblStylePr w:type="firstCol">
      <w:rPr>
        <w:b/>
        <w:bCs/>
      </w:rPr>
    </w:tblStylePr>
    <w:tblStylePr w:type="lastCol">
      <w:rPr>
        <w:b/>
        <w:bCs/>
      </w:rPr>
    </w:tblStylePr>
    <w:tblStylePr w:type="band1Vert">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tblStylePr w:type="band1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style>
  <w:style w:type="table" w:styleId="LightList-Accent4">
    <w:name w:val="Light List Accent 4"/>
    <w:basedOn w:val="TableNormal"/>
    <w:unhideWhenUsed/>
    <w:rsid w:val="00B36B45"/>
    <w:pPr>
      <w:spacing w:after="0" w:line="240" w:lineRule="auto"/>
    </w:p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tblBorders>
    </w:tblPr>
    <w:tblStylePr w:type="firstRow">
      <w:pPr>
        <w:spacing w:before="0" w:after="0" w:line="240" w:lineRule="auto"/>
      </w:pPr>
      <w:rPr>
        <w:b/>
        <w:bCs/>
        <w:color w:val="FFFFFF" w:themeColor="background1"/>
      </w:rPr>
      <w:tblPr/>
      <w:tcPr>
        <w:shd w:val="clear" w:color="auto" w:fill="F1B51C" w:themeFill="accent4"/>
      </w:tcPr>
    </w:tblStylePr>
    <w:tblStylePr w:type="lastRow">
      <w:pPr>
        <w:spacing w:before="0" w:after="0" w:line="240" w:lineRule="auto"/>
      </w:pPr>
      <w:rPr>
        <w:b/>
        <w:bCs/>
      </w:rPr>
      <w:tblPr/>
      <w:tcPr>
        <w:tcBorders>
          <w:top w:val="double" w:sz="6" w:space="0" w:color="F1B51C" w:themeColor="accent4"/>
          <w:left w:val="single" w:sz="8" w:space="0" w:color="F1B51C" w:themeColor="accent4"/>
          <w:bottom w:val="single" w:sz="8" w:space="0" w:color="F1B51C" w:themeColor="accent4"/>
          <w:right w:val="single" w:sz="8" w:space="0" w:color="F1B51C" w:themeColor="accent4"/>
        </w:tcBorders>
      </w:tcPr>
    </w:tblStylePr>
    <w:tblStylePr w:type="firstCol">
      <w:rPr>
        <w:b/>
        <w:bCs/>
      </w:rPr>
    </w:tblStylePr>
    <w:tblStylePr w:type="lastCol">
      <w:rPr>
        <w:b/>
        <w:bCs/>
      </w:rPr>
    </w:tblStylePr>
    <w:tblStylePr w:type="band1Vert">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tblStylePr w:type="band1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style>
  <w:style w:type="table" w:styleId="LightList-Accent5">
    <w:name w:val="Light List Accent 5"/>
    <w:basedOn w:val="TableNormal"/>
    <w:unhideWhenUsed/>
    <w:rsid w:val="00B36B45"/>
    <w:pPr>
      <w:spacing w:after="0" w:line="240" w:lineRule="auto"/>
    </w:p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tblBorders>
    </w:tblPr>
    <w:tblStylePr w:type="firstRow">
      <w:pPr>
        <w:spacing w:before="0" w:after="0" w:line="240" w:lineRule="auto"/>
      </w:pPr>
      <w:rPr>
        <w:b/>
        <w:bCs/>
        <w:color w:val="FFFFFF" w:themeColor="background1"/>
      </w:rPr>
      <w:tblPr/>
      <w:tcPr>
        <w:shd w:val="clear" w:color="auto" w:fill="189394" w:themeFill="accent5"/>
      </w:tcPr>
    </w:tblStylePr>
    <w:tblStylePr w:type="lastRow">
      <w:pPr>
        <w:spacing w:before="0" w:after="0" w:line="240" w:lineRule="auto"/>
      </w:pPr>
      <w:rPr>
        <w:b/>
        <w:bCs/>
      </w:rPr>
      <w:tblPr/>
      <w:tcPr>
        <w:tcBorders>
          <w:top w:val="double" w:sz="6" w:space="0" w:color="189394" w:themeColor="accent5"/>
          <w:left w:val="single" w:sz="8" w:space="0" w:color="189394" w:themeColor="accent5"/>
          <w:bottom w:val="single" w:sz="8" w:space="0" w:color="189394" w:themeColor="accent5"/>
          <w:right w:val="single" w:sz="8" w:space="0" w:color="189394" w:themeColor="accent5"/>
        </w:tcBorders>
      </w:tcPr>
    </w:tblStylePr>
    <w:tblStylePr w:type="firstCol">
      <w:rPr>
        <w:b/>
        <w:bCs/>
      </w:rPr>
    </w:tblStylePr>
    <w:tblStylePr w:type="lastCol">
      <w:rPr>
        <w:b/>
        <w:bCs/>
      </w:rPr>
    </w:tblStylePr>
    <w:tblStylePr w:type="band1Vert">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tblStylePr w:type="band1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style>
  <w:style w:type="table" w:styleId="LightList-Accent6">
    <w:name w:val="Light List Accent 6"/>
    <w:basedOn w:val="TableNormal"/>
    <w:unhideWhenUsed/>
    <w:rsid w:val="00B36B45"/>
    <w:pPr>
      <w:spacing w:after="0" w:line="240" w:lineRule="auto"/>
    </w:p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tblBorders>
    </w:tblPr>
    <w:tblStylePr w:type="firstRow">
      <w:pPr>
        <w:spacing w:before="0" w:after="0" w:line="240" w:lineRule="auto"/>
      </w:pPr>
      <w:rPr>
        <w:b/>
        <w:bCs/>
        <w:color w:val="FFFFFF" w:themeColor="background1"/>
      </w:rPr>
      <w:tblPr/>
      <w:tcPr>
        <w:shd w:val="clear" w:color="auto" w:fill="17A673" w:themeFill="accent6"/>
      </w:tcPr>
    </w:tblStylePr>
    <w:tblStylePr w:type="lastRow">
      <w:pPr>
        <w:spacing w:before="0" w:after="0" w:line="240" w:lineRule="auto"/>
      </w:pPr>
      <w:rPr>
        <w:b/>
        <w:bCs/>
      </w:rPr>
      <w:tblPr/>
      <w:tcPr>
        <w:tcBorders>
          <w:top w:val="double" w:sz="6" w:space="0" w:color="17A673" w:themeColor="accent6"/>
          <w:left w:val="single" w:sz="8" w:space="0" w:color="17A673" w:themeColor="accent6"/>
          <w:bottom w:val="single" w:sz="8" w:space="0" w:color="17A673" w:themeColor="accent6"/>
          <w:right w:val="single" w:sz="8" w:space="0" w:color="17A673" w:themeColor="accent6"/>
        </w:tcBorders>
      </w:tcPr>
    </w:tblStylePr>
    <w:tblStylePr w:type="firstCol">
      <w:rPr>
        <w:b/>
        <w:bCs/>
      </w:rPr>
    </w:tblStylePr>
    <w:tblStylePr w:type="lastCol">
      <w:rPr>
        <w:b/>
        <w:bCs/>
      </w:rPr>
    </w:tblStylePr>
    <w:tblStylePr w:type="band1Vert">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tblStylePr w:type="band1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style>
  <w:style w:type="table" w:styleId="LightShading">
    <w:name w:val="Light Shading"/>
    <w:basedOn w:val="TableNormal"/>
    <w:unhideWhenUsed/>
    <w:rsid w:val="00B36B4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nhideWhenUsed/>
    <w:rsid w:val="00B36B45"/>
    <w:pPr>
      <w:spacing w:after="0" w:line="240" w:lineRule="auto"/>
    </w:pPr>
    <w:rPr>
      <w:color w:val="081E36" w:themeColor="accent1" w:themeShade="BF"/>
    </w:rPr>
    <w:tblPr>
      <w:tblStyleRowBandSize w:val="1"/>
      <w:tblStyleColBandSize w:val="1"/>
      <w:tblBorders>
        <w:top w:val="single" w:sz="8" w:space="0" w:color="0B2949" w:themeColor="accent1"/>
        <w:bottom w:val="single" w:sz="8" w:space="0" w:color="0B2949" w:themeColor="accent1"/>
      </w:tblBorders>
    </w:tblPr>
    <w:tblStylePr w:type="firstRow">
      <w:pPr>
        <w:spacing w:before="0" w:after="0" w:line="240" w:lineRule="auto"/>
      </w:pPr>
      <w:rPr>
        <w:b/>
        <w:bCs/>
      </w:rPr>
      <w:tblPr/>
      <w:tcPr>
        <w:tcBorders>
          <w:top w:val="single" w:sz="8" w:space="0" w:color="0B2949" w:themeColor="accent1"/>
          <w:left w:val="nil"/>
          <w:bottom w:val="single" w:sz="8" w:space="0" w:color="0B2949" w:themeColor="accent1"/>
          <w:right w:val="nil"/>
          <w:insideH w:val="nil"/>
          <w:insideV w:val="nil"/>
        </w:tcBorders>
      </w:tcPr>
    </w:tblStylePr>
    <w:tblStylePr w:type="lastRow">
      <w:pPr>
        <w:spacing w:before="0" w:after="0" w:line="240" w:lineRule="auto"/>
      </w:pPr>
      <w:rPr>
        <w:b/>
        <w:bCs/>
      </w:rPr>
      <w:tblPr/>
      <w:tcPr>
        <w:tcBorders>
          <w:top w:val="single" w:sz="8" w:space="0" w:color="0B2949" w:themeColor="accent1"/>
          <w:left w:val="nil"/>
          <w:bottom w:val="single" w:sz="8" w:space="0" w:color="0B29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8F1" w:themeFill="accent1" w:themeFillTint="3F"/>
      </w:tcPr>
    </w:tblStylePr>
    <w:tblStylePr w:type="band1Horz">
      <w:tblPr/>
      <w:tcPr>
        <w:tcBorders>
          <w:left w:val="nil"/>
          <w:right w:val="nil"/>
          <w:insideH w:val="nil"/>
          <w:insideV w:val="nil"/>
        </w:tcBorders>
        <w:shd w:val="clear" w:color="auto" w:fill="A3C8F1" w:themeFill="accent1" w:themeFillTint="3F"/>
      </w:tcPr>
    </w:tblStylePr>
  </w:style>
  <w:style w:type="table" w:styleId="LightShading-Accent2">
    <w:name w:val="Light Shading Accent 2"/>
    <w:basedOn w:val="TableNormal"/>
    <w:unhideWhenUsed/>
    <w:rsid w:val="00B36B45"/>
    <w:pPr>
      <w:spacing w:after="0" w:line="240" w:lineRule="auto"/>
    </w:pPr>
    <w:rPr>
      <w:color w:val="9B201D" w:themeColor="accent2" w:themeShade="BF"/>
    </w:rPr>
    <w:tblPr>
      <w:tblStyleRowBandSize w:val="1"/>
      <w:tblStyleColBandSize w:val="1"/>
      <w:tblBorders>
        <w:top w:val="single" w:sz="8" w:space="0" w:color="D02B27" w:themeColor="accent2"/>
        <w:bottom w:val="single" w:sz="8" w:space="0" w:color="D02B27" w:themeColor="accent2"/>
      </w:tblBorders>
    </w:tblPr>
    <w:tblStylePr w:type="firstRow">
      <w:pPr>
        <w:spacing w:before="0" w:after="0" w:line="240" w:lineRule="auto"/>
      </w:pPr>
      <w:rPr>
        <w:b/>
        <w:bCs/>
      </w:rPr>
      <w:tblPr/>
      <w:tcPr>
        <w:tcBorders>
          <w:top w:val="single" w:sz="8" w:space="0" w:color="D02B27" w:themeColor="accent2"/>
          <w:left w:val="nil"/>
          <w:bottom w:val="single" w:sz="8" w:space="0" w:color="D02B27" w:themeColor="accent2"/>
          <w:right w:val="nil"/>
          <w:insideH w:val="nil"/>
          <w:insideV w:val="nil"/>
        </w:tcBorders>
      </w:tcPr>
    </w:tblStylePr>
    <w:tblStylePr w:type="lastRow">
      <w:pPr>
        <w:spacing w:before="0" w:after="0" w:line="240" w:lineRule="auto"/>
      </w:pPr>
      <w:rPr>
        <w:b/>
        <w:bCs/>
      </w:rPr>
      <w:tblPr/>
      <w:tcPr>
        <w:tcBorders>
          <w:top w:val="single" w:sz="8" w:space="0" w:color="D02B27" w:themeColor="accent2"/>
          <w:left w:val="nil"/>
          <w:bottom w:val="single" w:sz="8" w:space="0" w:color="D02B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C9C8" w:themeFill="accent2" w:themeFillTint="3F"/>
      </w:tcPr>
    </w:tblStylePr>
    <w:tblStylePr w:type="band1Horz">
      <w:tblPr/>
      <w:tcPr>
        <w:tcBorders>
          <w:left w:val="nil"/>
          <w:right w:val="nil"/>
          <w:insideH w:val="nil"/>
          <w:insideV w:val="nil"/>
        </w:tcBorders>
        <w:shd w:val="clear" w:color="auto" w:fill="F4C9C8" w:themeFill="accent2" w:themeFillTint="3F"/>
      </w:tcPr>
    </w:tblStylePr>
  </w:style>
  <w:style w:type="table" w:styleId="LightShading-Accent3">
    <w:name w:val="Light Shading Accent 3"/>
    <w:basedOn w:val="TableNormal"/>
    <w:unhideWhenUsed/>
    <w:rsid w:val="00B36B45"/>
    <w:pPr>
      <w:spacing w:after="0" w:line="240" w:lineRule="auto"/>
    </w:pPr>
    <w:rPr>
      <w:color w:val="444D54" w:themeColor="accent3" w:themeShade="BF"/>
    </w:rPr>
    <w:tblPr>
      <w:tblStyleRowBandSize w:val="1"/>
      <w:tblStyleColBandSize w:val="1"/>
      <w:tblBorders>
        <w:top w:val="single" w:sz="8" w:space="0" w:color="5B6771" w:themeColor="accent3"/>
        <w:bottom w:val="single" w:sz="8" w:space="0" w:color="5B6771" w:themeColor="accent3"/>
      </w:tblBorders>
    </w:tblPr>
    <w:tblStylePr w:type="firstRow">
      <w:pPr>
        <w:spacing w:before="0" w:after="0" w:line="240" w:lineRule="auto"/>
      </w:pPr>
      <w:rPr>
        <w:b/>
        <w:bCs/>
      </w:rPr>
      <w:tblPr/>
      <w:tcPr>
        <w:tcBorders>
          <w:top w:val="single" w:sz="8" w:space="0" w:color="5B6771" w:themeColor="accent3"/>
          <w:left w:val="nil"/>
          <w:bottom w:val="single" w:sz="8" w:space="0" w:color="5B6771" w:themeColor="accent3"/>
          <w:right w:val="nil"/>
          <w:insideH w:val="nil"/>
          <w:insideV w:val="nil"/>
        </w:tcBorders>
      </w:tcPr>
    </w:tblStylePr>
    <w:tblStylePr w:type="lastRow">
      <w:pPr>
        <w:spacing w:before="0" w:after="0" w:line="240" w:lineRule="auto"/>
      </w:pPr>
      <w:rPr>
        <w:b/>
        <w:bCs/>
      </w:rPr>
      <w:tblPr/>
      <w:tcPr>
        <w:tcBorders>
          <w:top w:val="single" w:sz="8" w:space="0" w:color="5B6771" w:themeColor="accent3"/>
          <w:left w:val="nil"/>
          <w:bottom w:val="single" w:sz="8" w:space="0" w:color="5B677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left w:val="nil"/>
          <w:right w:val="nil"/>
          <w:insideH w:val="nil"/>
          <w:insideV w:val="nil"/>
        </w:tcBorders>
        <w:shd w:val="clear" w:color="auto" w:fill="D5D9DD" w:themeFill="accent3" w:themeFillTint="3F"/>
      </w:tcPr>
    </w:tblStylePr>
  </w:style>
  <w:style w:type="table" w:styleId="LightShading-Accent4">
    <w:name w:val="Light Shading Accent 4"/>
    <w:basedOn w:val="TableNormal"/>
    <w:unhideWhenUsed/>
    <w:rsid w:val="00B36B45"/>
    <w:pPr>
      <w:spacing w:after="0" w:line="240" w:lineRule="auto"/>
    </w:pPr>
    <w:rPr>
      <w:color w:val="BD8B0B" w:themeColor="accent4" w:themeShade="BF"/>
    </w:rPr>
    <w:tblPr>
      <w:tblStyleRowBandSize w:val="1"/>
      <w:tblStyleColBandSize w:val="1"/>
      <w:tblBorders>
        <w:top w:val="single" w:sz="8" w:space="0" w:color="F1B51C" w:themeColor="accent4"/>
        <w:bottom w:val="single" w:sz="8" w:space="0" w:color="F1B51C" w:themeColor="accent4"/>
      </w:tblBorders>
    </w:tblPr>
    <w:tblStylePr w:type="firstRow">
      <w:pPr>
        <w:spacing w:before="0" w:after="0" w:line="240" w:lineRule="auto"/>
      </w:pPr>
      <w:rPr>
        <w:b/>
        <w:bCs/>
      </w:rPr>
      <w:tblPr/>
      <w:tcPr>
        <w:tcBorders>
          <w:top w:val="single" w:sz="8" w:space="0" w:color="F1B51C" w:themeColor="accent4"/>
          <w:left w:val="nil"/>
          <w:bottom w:val="single" w:sz="8" w:space="0" w:color="F1B51C" w:themeColor="accent4"/>
          <w:right w:val="nil"/>
          <w:insideH w:val="nil"/>
          <w:insideV w:val="nil"/>
        </w:tcBorders>
      </w:tcPr>
    </w:tblStylePr>
    <w:tblStylePr w:type="lastRow">
      <w:pPr>
        <w:spacing w:before="0" w:after="0" w:line="240" w:lineRule="auto"/>
      </w:pPr>
      <w:rPr>
        <w:b/>
        <w:bCs/>
      </w:rPr>
      <w:tblPr/>
      <w:tcPr>
        <w:tcBorders>
          <w:top w:val="single" w:sz="8" w:space="0" w:color="F1B51C" w:themeColor="accent4"/>
          <w:left w:val="nil"/>
          <w:bottom w:val="single" w:sz="8" w:space="0" w:color="F1B51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CC6" w:themeFill="accent4" w:themeFillTint="3F"/>
      </w:tcPr>
    </w:tblStylePr>
    <w:tblStylePr w:type="band1Horz">
      <w:tblPr/>
      <w:tcPr>
        <w:tcBorders>
          <w:left w:val="nil"/>
          <w:right w:val="nil"/>
          <w:insideH w:val="nil"/>
          <w:insideV w:val="nil"/>
        </w:tcBorders>
        <w:shd w:val="clear" w:color="auto" w:fill="FBECC6" w:themeFill="accent4" w:themeFillTint="3F"/>
      </w:tcPr>
    </w:tblStylePr>
  </w:style>
  <w:style w:type="table" w:styleId="LightShading-Accent5">
    <w:name w:val="Light Shading Accent 5"/>
    <w:basedOn w:val="TableNormal"/>
    <w:unhideWhenUsed/>
    <w:rsid w:val="00B36B45"/>
    <w:pPr>
      <w:spacing w:after="0" w:line="240" w:lineRule="auto"/>
    </w:pPr>
    <w:rPr>
      <w:color w:val="126D6E" w:themeColor="accent5" w:themeShade="BF"/>
    </w:rPr>
    <w:tblPr>
      <w:tblStyleRowBandSize w:val="1"/>
      <w:tblStyleColBandSize w:val="1"/>
      <w:tblBorders>
        <w:top w:val="single" w:sz="8" w:space="0" w:color="189394" w:themeColor="accent5"/>
        <w:bottom w:val="single" w:sz="8" w:space="0" w:color="189394" w:themeColor="accent5"/>
      </w:tblBorders>
    </w:tblPr>
    <w:tblStylePr w:type="firstRow">
      <w:pPr>
        <w:spacing w:before="0" w:after="0" w:line="240" w:lineRule="auto"/>
      </w:pPr>
      <w:rPr>
        <w:b/>
        <w:bCs/>
      </w:rPr>
      <w:tblPr/>
      <w:tcPr>
        <w:tcBorders>
          <w:top w:val="single" w:sz="8" w:space="0" w:color="189394" w:themeColor="accent5"/>
          <w:left w:val="nil"/>
          <w:bottom w:val="single" w:sz="8" w:space="0" w:color="189394" w:themeColor="accent5"/>
          <w:right w:val="nil"/>
          <w:insideH w:val="nil"/>
          <w:insideV w:val="nil"/>
        </w:tcBorders>
      </w:tcPr>
    </w:tblStylePr>
    <w:tblStylePr w:type="lastRow">
      <w:pPr>
        <w:spacing w:before="0" w:after="0" w:line="240" w:lineRule="auto"/>
      </w:pPr>
      <w:rPr>
        <w:b/>
        <w:bCs/>
      </w:rPr>
      <w:tblPr/>
      <w:tcPr>
        <w:tcBorders>
          <w:top w:val="single" w:sz="8" w:space="0" w:color="189394" w:themeColor="accent5"/>
          <w:left w:val="nil"/>
          <w:bottom w:val="single" w:sz="8" w:space="0" w:color="18939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2F3" w:themeFill="accent5" w:themeFillTint="3F"/>
      </w:tcPr>
    </w:tblStylePr>
    <w:tblStylePr w:type="band1Horz">
      <w:tblPr/>
      <w:tcPr>
        <w:tcBorders>
          <w:left w:val="nil"/>
          <w:right w:val="nil"/>
          <w:insideH w:val="nil"/>
          <w:insideV w:val="nil"/>
        </w:tcBorders>
        <w:shd w:val="clear" w:color="auto" w:fill="B7F2F3" w:themeFill="accent5" w:themeFillTint="3F"/>
      </w:tcPr>
    </w:tblStylePr>
  </w:style>
  <w:style w:type="table" w:styleId="LightShading-Accent6">
    <w:name w:val="Light Shading Accent 6"/>
    <w:basedOn w:val="TableNormal"/>
    <w:unhideWhenUsed/>
    <w:rsid w:val="00B36B45"/>
    <w:pPr>
      <w:spacing w:after="0" w:line="240" w:lineRule="auto"/>
    </w:pPr>
    <w:rPr>
      <w:color w:val="117C55" w:themeColor="accent6" w:themeShade="BF"/>
    </w:rPr>
    <w:tblPr>
      <w:tblStyleRowBandSize w:val="1"/>
      <w:tblStyleColBandSize w:val="1"/>
      <w:tblBorders>
        <w:top w:val="single" w:sz="8" w:space="0" w:color="17A673" w:themeColor="accent6"/>
        <w:bottom w:val="single" w:sz="8" w:space="0" w:color="17A673" w:themeColor="accent6"/>
      </w:tblBorders>
    </w:tblPr>
    <w:tblStylePr w:type="firstRow">
      <w:pPr>
        <w:spacing w:before="0" w:after="0" w:line="240" w:lineRule="auto"/>
      </w:pPr>
      <w:rPr>
        <w:b/>
        <w:bCs/>
      </w:rPr>
      <w:tblPr/>
      <w:tcPr>
        <w:tcBorders>
          <w:top w:val="single" w:sz="8" w:space="0" w:color="17A673" w:themeColor="accent6"/>
          <w:left w:val="nil"/>
          <w:bottom w:val="single" w:sz="8" w:space="0" w:color="17A673" w:themeColor="accent6"/>
          <w:right w:val="nil"/>
          <w:insideH w:val="nil"/>
          <w:insideV w:val="nil"/>
        </w:tcBorders>
      </w:tcPr>
    </w:tblStylePr>
    <w:tblStylePr w:type="lastRow">
      <w:pPr>
        <w:spacing w:before="0" w:after="0" w:line="240" w:lineRule="auto"/>
      </w:pPr>
      <w:rPr>
        <w:b/>
        <w:bCs/>
      </w:rPr>
      <w:tblPr/>
      <w:tcPr>
        <w:tcBorders>
          <w:top w:val="single" w:sz="8" w:space="0" w:color="17A673" w:themeColor="accent6"/>
          <w:left w:val="nil"/>
          <w:bottom w:val="single" w:sz="8" w:space="0" w:color="17A6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5DF" w:themeFill="accent6" w:themeFillTint="3F"/>
      </w:tcPr>
    </w:tblStylePr>
    <w:tblStylePr w:type="band1Horz">
      <w:tblPr/>
      <w:tcPr>
        <w:tcBorders>
          <w:left w:val="nil"/>
          <w:right w:val="nil"/>
          <w:insideH w:val="nil"/>
          <w:insideV w:val="nil"/>
        </w:tcBorders>
        <w:shd w:val="clear" w:color="auto" w:fill="B9F5DF" w:themeFill="accent6" w:themeFillTint="3F"/>
      </w:tcPr>
    </w:tblStylePr>
  </w:style>
  <w:style w:type="character" w:styleId="LineNumber">
    <w:name w:val="line number"/>
    <w:basedOn w:val="DefaultParagraphFont"/>
    <w:qFormat/>
    <w:rsid w:val="00AF1C85"/>
  </w:style>
  <w:style w:type="paragraph" w:styleId="ListContinue4">
    <w:name w:val="List Continue 4"/>
    <w:basedOn w:val="Normal"/>
    <w:qFormat/>
    <w:rsid w:val="00560C05"/>
    <w:pPr>
      <w:spacing w:after="120"/>
      <w:ind w:left="720"/>
      <w:contextualSpacing/>
    </w:pPr>
  </w:style>
  <w:style w:type="paragraph" w:styleId="ListContinue5">
    <w:name w:val="List Continue 5"/>
    <w:basedOn w:val="Normal"/>
    <w:qFormat/>
    <w:rsid w:val="00795584"/>
    <w:pPr>
      <w:spacing w:after="120"/>
      <w:ind w:left="1080"/>
      <w:contextualSpacing/>
    </w:pPr>
  </w:style>
  <w:style w:type="table" w:styleId="ListTable1Light">
    <w:name w:val="List Table 1 Light"/>
    <w:basedOn w:val="TableNormal"/>
    <w:rsid w:val="00B36B4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rsid w:val="00B36B45"/>
    <w:pPr>
      <w:spacing w:after="0" w:line="240" w:lineRule="auto"/>
    </w:pPr>
    <w:tblPr>
      <w:tblStyleRowBandSize w:val="1"/>
      <w:tblStyleColBandSize w:val="1"/>
    </w:tblPr>
    <w:tblStylePr w:type="firstRow">
      <w:rPr>
        <w:b/>
        <w:bCs/>
      </w:rPr>
      <w:tblPr/>
      <w:tcPr>
        <w:tcBorders>
          <w:bottom w:val="single" w:sz="4" w:space="0" w:color="217BDD" w:themeColor="accent1" w:themeTint="99"/>
        </w:tcBorders>
      </w:tcPr>
    </w:tblStylePr>
    <w:tblStylePr w:type="lastRow">
      <w:rPr>
        <w:b/>
        <w:bCs/>
      </w:rPr>
      <w:tblPr/>
      <w:tcPr>
        <w:tcBorders>
          <w:top w:val="sing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1Light-Accent2">
    <w:name w:val="List Table 1 Light Accent 2"/>
    <w:basedOn w:val="TableNormal"/>
    <w:rsid w:val="00B36B45"/>
    <w:pPr>
      <w:spacing w:after="0" w:line="240" w:lineRule="auto"/>
    </w:pPr>
    <w:tblPr>
      <w:tblStyleRowBandSize w:val="1"/>
      <w:tblStyleColBandSize w:val="1"/>
    </w:tblPr>
    <w:tblStylePr w:type="firstRow">
      <w:rPr>
        <w:b/>
        <w:bCs/>
      </w:rPr>
      <w:tblPr/>
      <w:tcPr>
        <w:tcBorders>
          <w:bottom w:val="single" w:sz="4" w:space="0" w:color="E67C79" w:themeColor="accent2" w:themeTint="99"/>
        </w:tcBorders>
      </w:tcPr>
    </w:tblStylePr>
    <w:tblStylePr w:type="lastRow">
      <w:rPr>
        <w:b/>
        <w:bCs/>
      </w:rPr>
      <w:tblPr/>
      <w:tcPr>
        <w:tcBorders>
          <w:top w:val="sing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1Light-Accent3">
    <w:name w:val="List Table 1 Light Accent 3"/>
    <w:basedOn w:val="TableNormal"/>
    <w:rsid w:val="00B36B45"/>
    <w:pPr>
      <w:spacing w:after="0" w:line="240" w:lineRule="auto"/>
    </w:pPr>
    <w:tblPr>
      <w:tblStyleRowBandSize w:val="1"/>
      <w:tblStyleColBandSize w:val="1"/>
    </w:tblPr>
    <w:tblStylePr w:type="firstRow">
      <w:rPr>
        <w:b/>
        <w:bCs/>
      </w:rPr>
      <w:tblPr/>
      <w:tcPr>
        <w:tcBorders>
          <w:bottom w:val="single" w:sz="4" w:space="0" w:color="99A4AD" w:themeColor="accent3" w:themeTint="99"/>
        </w:tcBorders>
      </w:tcPr>
    </w:tblStylePr>
    <w:tblStylePr w:type="lastRow">
      <w:rPr>
        <w:b/>
        <w:bCs/>
      </w:rPr>
      <w:tblPr/>
      <w:tcPr>
        <w:tcBorders>
          <w:top w:val="sing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1Light-Accent4">
    <w:name w:val="List Table 1 Light Accent 4"/>
    <w:basedOn w:val="TableNormal"/>
    <w:rsid w:val="00B36B45"/>
    <w:pPr>
      <w:spacing w:after="0" w:line="240" w:lineRule="auto"/>
    </w:pPr>
    <w:tblPr>
      <w:tblStyleRowBandSize w:val="1"/>
      <w:tblStyleColBandSize w:val="1"/>
    </w:tblPr>
    <w:tblStylePr w:type="firstRow">
      <w:rPr>
        <w:b/>
        <w:bCs/>
      </w:rPr>
      <w:tblPr/>
      <w:tcPr>
        <w:tcBorders>
          <w:bottom w:val="single" w:sz="4" w:space="0" w:color="F6D276" w:themeColor="accent4" w:themeTint="99"/>
        </w:tcBorders>
      </w:tcPr>
    </w:tblStylePr>
    <w:tblStylePr w:type="lastRow">
      <w:rPr>
        <w:b/>
        <w:bCs/>
      </w:rPr>
      <w:tblPr/>
      <w:tcPr>
        <w:tcBorders>
          <w:top w:val="sing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1Light-Accent5">
    <w:name w:val="List Table 1 Light Accent 5"/>
    <w:basedOn w:val="TableNormal"/>
    <w:rsid w:val="00B36B45"/>
    <w:pPr>
      <w:spacing w:after="0" w:line="240" w:lineRule="auto"/>
    </w:pPr>
    <w:tblPr>
      <w:tblStyleRowBandSize w:val="1"/>
      <w:tblStyleColBandSize w:val="1"/>
    </w:tblPr>
    <w:tblStylePr w:type="firstRow">
      <w:rPr>
        <w:b/>
        <w:bCs/>
      </w:rPr>
      <w:tblPr/>
      <w:tcPr>
        <w:tcBorders>
          <w:bottom w:val="single" w:sz="4" w:space="0" w:color="50E1E2" w:themeColor="accent5" w:themeTint="99"/>
        </w:tcBorders>
      </w:tcPr>
    </w:tblStylePr>
    <w:tblStylePr w:type="lastRow">
      <w:rPr>
        <w:b/>
        <w:bCs/>
      </w:rPr>
      <w:tblPr/>
      <w:tcPr>
        <w:tcBorders>
          <w:top w:val="sing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1Light-Accent6">
    <w:name w:val="List Table 1 Light Accent 6"/>
    <w:basedOn w:val="TableNormal"/>
    <w:rsid w:val="00B36B45"/>
    <w:pPr>
      <w:spacing w:after="0" w:line="240" w:lineRule="auto"/>
    </w:pPr>
    <w:tblPr>
      <w:tblStyleRowBandSize w:val="1"/>
      <w:tblStyleColBandSize w:val="1"/>
    </w:tblPr>
    <w:tblStylePr w:type="firstRow">
      <w:rPr>
        <w:b/>
        <w:bCs/>
      </w:rPr>
      <w:tblPr/>
      <w:tcPr>
        <w:tcBorders>
          <w:bottom w:val="single" w:sz="4" w:space="0" w:color="55E7B3" w:themeColor="accent6" w:themeTint="99"/>
        </w:tcBorders>
      </w:tcPr>
    </w:tblStylePr>
    <w:tblStylePr w:type="lastRow">
      <w:rPr>
        <w:b/>
        <w:bCs/>
      </w:rPr>
      <w:tblPr/>
      <w:tcPr>
        <w:tcBorders>
          <w:top w:val="sing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2">
    <w:name w:val="List Table 2"/>
    <w:basedOn w:val="TableNormal"/>
    <w:rsid w:val="00B36B4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rsid w:val="00B36B45"/>
    <w:pPr>
      <w:spacing w:after="0" w:line="240" w:lineRule="auto"/>
    </w:pPr>
    <w:tblPr>
      <w:tblStyleRowBandSize w:val="1"/>
      <w:tblStyleColBandSize w:val="1"/>
      <w:tblBorders>
        <w:top w:val="single" w:sz="4" w:space="0" w:color="217BDD" w:themeColor="accent1" w:themeTint="99"/>
        <w:bottom w:val="single" w:sz="4" w:space="0" w:color="217BDD" w:themeColor="accent1" w:themeTint="99"/>
        <w:insideH w:val="single" w:sz="4" w:space="0" w:color="217B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2-Accent2">
    <w:name w:val="List Table 2 Accent 2"/>
    <w:basedOn w:val="TableNormal"/>
    <w:rsid w:val="00B36B45"/>
    <w:pPr>
      <w:spacing w:after="0" w:line="240" w:lineRule="auto"/>
    </w:pPr>
    <w:tblPr>
      <w:tblStyleRowBandSize w:val="1"/>
      <w:tblStyleColBandSize w:val="1"/>
      <w:tblBorders>
        <w:top w:val="single" w:sz="4" w:space="0" w:color="E67C79" w:themeColor="accent2" w:themeTint="99"/>
        <w:bottom w:val="single" w:sz="4" w:space="0" w:color="E67C79" w:themeColor="accent2" w:themeTint="99"/>
        <w:insideH w:val="single" w:sz="4" w:space="0" w:color="E67C7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2-Accent3">
    <w:name w:val="List Table 2 Accent 3"/>
    <w:basedOn w:val="TableNormal"/>
    <w:rsid w:val="00B36B45"/>
    <w:pPr>
      <w:spacing w:after="0" w:line="240" w:lineRule="auto"/>
    </w:pPr>
    <w:tblPr>
      <w:tblStyleRowBandSize w:val="1"/>
      <w:tblStyleColBandSize w:val="1"/>
      <w:tblBorders>
        <w:top w:val="single" w:sz="4" w:space="0" w:color="99A4AD" w:themeColor="accent3" w:themeTint="99"/>
        <w:bottom w:val="single" w:sz="4" w:space="0" w:color="99A4AD" w:themeColor="accent3" w:themeTint="99"/>
        <w:insideH w:val="single" w:sz="4" w:space="0" w:color="99A4A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2-Accent4">
    <w:name w:val="List Table 2 Accent 4"/>
    <w:basedOn w:val="TableNormal"/>
    <w:rsid w:val="00B36B45"/>
    <w:pPr>
      <w:spacing w:after="0" w:line="240" w:lineRule="auto"/>
    </w:pPr>
    <w:tblPr>
      <w:tblStyleRowBandSize w:val="1"/>
      <w:tblStyleColBandSize w:val="1"/>
      <w:tblBorders>
        <w:top w:val="single" w:sz="4" w:space="0" w:color="F6D276" w:themeColor="accent4" w:themeTint="99"/>
        <w:bottom w:val="single" w:sz="4" w:space="0" w:color="F6D276" w:themeColor="accent4" w:themeTint="99"/>
        <w:insideH w:val="single" w:sz="4" w:space="0" w:color="F6D27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2-Accent5">
    <w:name w:val="List Table 2 Accent 5"/>
    <w:basedOn w:val="TableNormal"/>
    <w:rsid w:val="00B36B45"/>
    <w:pPr>
      <w:spacing w:after="0" w:line="240" w:lineRule="auto"/>
    </w:pPr>
    <w:tblPr>
      <w:tblStyleRowBandSize w:val="1"/>
      <w:tblStyleColBandSize w:val="1"/>
      <w:tblBorders>
        <w:top w:val="single" w:sz="4" w:space="0" w:color="50E1E2" w:themeColor="accent5" w:themeTint="99"/>
        <w:bottom w:val="single" w:sz="4" w:space="0" w:color="50E1E2" w:themeColor="accent5" w:themeTint="99"/>
        <w:insideH w:val="single" w:sz="4" w:space="0" w:color="50E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2-Accent6">
    <w:name w:val="List Table 2 Accent 6"/>
    <w:basedOn w:val="TableNormal"/>
    <w:rsid w:val="00B36B45"/>
    <w:pPr>
      <w:spacing w:after="0" w:line="240" w:lineRule="auto"/>
    </w:pPr>
    <w:tblPr>
      <w:tblStyleRowBandSize w:val="1"/>
      <w:tblStyleColBandSize w:val="1"/>
      <w:tblBorders>
        <w:top w:val="single" w:sz="4" w:space="0" w:color="55E7B3" w:themeColor="accent6" w:themeTint="99"/>
        <w:bottom w:val="single" w:sz="4" w:space="0" w:color="55E7B3" w:themeColor="accent6" w:themeTint="99"/>
        <w:insideH w:val="single" w:sz="4" w:space="0" w:color="55E7B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3">
    <w:name w:val="List Table 3"/>
    <w:basedOn w:val="TableNormal"/>
    <w:rsid w:val="00B36B4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rsid w:val="00B36B45"/>
    <w:pPr>
      <w:spacing w:after="0" w:line="240" w:lineRule="auto"/>
    </w:pPr>
    <w:tblPr>
      <w:tblStyleRowBandSize w:val="1"/>
      <w:tblStyleColBandSize w:val="1"/>
      <w:tblBorders>
        <w:top w:val="single" w:sz="4" w:space="0" w:color="0B2949" w:themeColor="accent1"/>
        <w:left w:val="single" w:sz="4" w:space="0" w:color="0B2949" w:themeColor="accent1"/>
        <w:bottom w:val="single" w:sz="4" w:space="0" w:color="0B2949" w:themeColor="accent1"/>
        <w:right w:val="single" w:sz="4" w:space="0" w:color="0B2949" w:themeColor="accent1"/>
      </w:tblBorders>
    </w:tblPr>
    <w:tblStylePr w:type="firstRow">
      <w:rPr>
        <w:b/>
        <w:bCs/>
        <w:color w:val="FFFFFF" w:themeColor="background1"/>
      </w:rPr>
      <w:tblPr/>
      <w:tcPr>
        <w:shd w:val="clear" w:color="auto" w:fill="0B2949" w:themeFill="accent1"/>
      </w:tcPr>
    </w:tblStylePr>
    <w:tblStylePr w:type="lastRow">
      <w:rPr>
        <w:b/>
        <w:bCs/>
      </w:rPr>
      <w:tblPr/>
      <w:tcPr>
        <w:tcBorders>
          <w:top w:val="double" w:sz="4" w:space="0" w:color="0B294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2949" w:themeColor="accent1"/>
          <w:right w:val="single" w:sz="4" w:space="0" w:color="0B2949" w:themeColor="accent1"/>
        </w:tcBorders>
      </w:tcPr>
    </w:tblStylePr>
    <w:tblStylePr w:type="band1Horz">
      <w:tblPr/>
      <w:tcPr>
        <w:tcBorders>
          <w:top w:val="single" w:sz="4" w:space="0" w:color="0B2949" w:themeColor="accent1"/>
          <w:bottom w:val="single" w:sz="4" w:space="0" w:color="0B294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2949" w:themeColor="accent1"/>
          <w:left w:val="nil"/>
        </w:tcBorders>
      </w:tcPr>
    </w:tblStylePr>
    <w:tblStylePr w:type="swCell">
      <w:tblPr/>
      <w:tcPr>
        <w:tcBorders>
          <w:top w:val="double" w:sz="4" w:space="0" w:color="0B2949" w:themeColor="accent1"/>
          <w:right w:val="nil"/>
        </w:tcBorders>
      </w:tcPr>
    </w:tblStylePr>
  </w:style>
  <w:style w:type="table" w:styleId="ListTable3-Accent2">
    <w:name w:val="List Table 3 Accent 2"/>
    <w:basedOn w:val="TableNormal"/>
    <w:rsid w:val="00B36B45"/>
    <w:pPr>
      <w:spacing w:after="0" w:line="240" w:lineRule="auto"/>
    </w:pPr>
    <w:tblPr>
      <w:tblStyleRowBandSize w:val="1"/>
      <w:tblStyleColBandSize w:val="1"/>
      <w:tblBorders>
        <w:top w:val="single" w:sz="4" w:space="0" w:color="D02B27" w:themeColor="accent2"/>
        <w:left w:val="single" w:sz="4" w:space="0" w:color="D02B27" w:themeColor="accent2"/>
        <w:bottom w:val="single" w:sz="4" w:space="0" w:color="D02B27" w:themeColor="accent2"/>
        <w:right w:val="single" w:sz="4" w:space="0" w:color="D02B27" w:themeColor="accent2"/>
      </w:tblBorders>
    </w:tblPr>
    <w:tblStylePr w:type="firstRow">
      <w:rPr>
        <w:b/>
        <w:bCs/>
        <w:color w:val="FFFFFF" w:themeColor="background1"/>
      </w:rPr>
      <w:tblPr/>
      <w:tcPr>
        <w:shd w:val="clear" w:color="auto" w:fill="D02B27" w:themeFill="accent2"/>
      </w:tcPr>
    </w:tblStylePr>
    <w:tblStylePr w:type="lastRow">
      <w:rPr>
        <w:b/>
        <w:bCs/>
      </w:rPr>
      <w:tblPr/>
      <w:tcPr>
        <w:tcBorders>
          <w:top w:val="double" w:sz="4" w:space="0" w:color="D02B2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B27" w:themeColor="accent2"/>
          <w:right w:val="single" w:sz="4" w:space="0" w:color="D02B27" w:themeColor="accent2"/>
        </w:tcBorders>
      </w:tcPr>
    </w:tblStylePr>
    <w:tblStylePr w:type="band1Horz">
      <w:tblPr/>
      <w:tcPr>
        <w:tcBorders>
          <w:top w:val="single" w:sz="4" w:space="0" w:color="D02B27" w:themeColor="accent2"/>
          <w:bottom w:val="single" w:sz="4" w:space="0" w:color="D02B2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B27" w:themeColor="accent2"/>
          <w:left w:val="nil"/>
        </w:tcBorders>
      </w:tcPr>
    </w:tblStylePr>
    <w:tblStylePr w:type="swCell">
      <w:tblPr/>
      <w:tcPr>
        <w:tcBorders>
          <w:top w:val="double" w:sz="4" w:space="0" w:color="D02B27" w:themeColor="accent2"/>
          <w:right w:val="nil"/>
        </w:tcBorders>
      </w:tcPr>
    </w:tblStylePr>
  </w:style>
  <w:style w:type="table" w:styleId="ListTable3-Accent3">
    <w:name w:val="List Table 3 Accent 3"/>
    <w:basedOn w:val="TableNormal"/>
    <w:rsid w:val="00B36B45"/>
    <w:pPr>
      <w:spacing w:after="0" w:line="240" w:lineRule="auto"/>
    </w:pPr>
    <w:tblPr>
      <w:tblStyleRowBandSize w:val="1"/>
      <w:tblStyleColBandSize w:val="1"/>
      <w:tblBorders>
        <w:top w:val="single" w:sz="4" w:space="0" w:color="5B6771" w:themeColor="accent3"/>
        <w:left w:val="single" w:sz="4" w:space="0" w:color="5B6771" w:themeColor="accent3"/>
        <w:bottom w:val="single" w:sz="4" w:space="0" w:color="5B6771" w:themeColor="accent3"/>
        <w:right w:val="single" w:sz="4" w:space="0" w:color="5B6771" w:themeColor="accent3"/>
      </w:tblBorders>
    </w:tblPr>
    <w:tblStylePr w:type="firstRow">
      <w:rPr>
        <w:b/>
        <w:bCs/>
        <w:color w:val="FFFFFF" w:themeColor="background1"/>
      </w:rPr>
      <w:tblPr/>
      <w:tcPr>
        <w:shd w:val="clear" w:color="auto" w:fill="5B6771" w:themeFill="accent3"/>
      </w:tcPr>
    </w:tblStylePr>
    <w:tblStylePr w:type="lastRow">
      <w:rPr>
        <w:b/>
        <w:bCs/>
      </w:rPr>
      <w:tblPr/>
      <w:tcPr>
        <w:tcBorders>
          <w:top w:val="double" w:sz="4" w:space="0" w:color="5B677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1" w:themeColor="accent3"/>
          <w:right w:val="single" w:sz="4" w:space="0" w:color="5B6771" w:themeColor="accent3"/>
        </w:tcBorders>
      </w:tcPr>
    </w:tblStylePr>
    <w:tblStylePr w:type="band1Horz">
      <w:tblPr/>
      <w:tcPr>
        <w:tcBorders>
          <w:top w:val="single" w:sz="4" w:space="0" w:color="5B6771" w:themeColor="accent3"/>
          <w:bottom w:val="single" w:sz="4" w:space="0" w:color="5B677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1" w:themeColor="accent3"/>
          <w:left w:val="nil"/>
        </w:tcBorders>
      </w:tcPr>
    </w:tblStylePr>
    <w:tblStylePr w:type="swCell">
      <w:tblPr/>
      <w:tcPr>
        <w:tcBorders>
          <w:top w:val="double" w:sz="4" w:space="0" w:color="5B6771" w:themeColor="accent3"/>
          <w:right w:val="nil"/>
        </w:tcBorders>
      </w:tcPr>
    </w:tblStylePr>
  </w:style>
  <w:style w:type="table" w:styleId="ListTable3-Accent4">
    <w:name w:val="List Table 3 Accent 4"/>
    <w:basedOn w:val="TableNormal"/>
    <w:rsid w:val="00B36B45"/>
    <w:pPr>
      <w:spacing w:after="0" w:line="240" w:lineRule="auto"/>
    </w:pPr>
    <w:tblPr>
      <w:tblStyleRowBandSize w:val="1"/>
      <w:tblStyleColBandSize w:val="1"/>
      <w:tblBorders>
        <w:top w:val="single" w:sz="4" w:space="0" w:color="F1B51C" w:themeColor="accent4"/>
        <w:left w:val="single" w:sz="4" w:space="0" w:color="F1B51C" w:themeColor="accent4"/>
        <w:bottom w:val="single" w:sz="4" w:space="0" w:color="F1B51C" w:themeColor="accent4"/>
        <w:right w:val="single" w:sz="4" w:space="0" w:color="F1B51C" w:themeColor="accent4"/>
      </w:tblBorders>
    </w:tblPr>
    <w:tblStylePr w:type="firstRow">
      <w:rPr>
        <w:b/>
        <w:bCs/>
        <w:color w:val="FFFFFF" w:themeColor="background1"/>
      </w:rPr>
      <w:tblPr/>
      <w:tcPr>
        <w:shd w:val="clear" w:color="auto" w:fill="F1B51C" w:themeFill="accent4"/>
      </w:tcPr>
    </w:tblStylePr>
    <w:tblStylePr w:type="lastRow">
      <w:rPr>
        <w:b/>
        <w:bCs/>
      </w:rPr>
      <w:tblPr/>
      <w:tcPr>
        <w:tcBorders>
          <w:top w:val="double" w:sz="4" w:space="0" w:color="F1B51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B51C" w:themeColor="accent4"/>
          <w:right w:val="single" w:sz="4" w:space="0" w:color="F1B51C" w:themeColor="accent4"/>
        </w:tcBorders>
      </w:tcPr>
    </w:tblStylePr>
    <w:tblStylePr w:type="band1Horz">
      <w:tblPr/>
      <w:tcPr>
        <w:tcBorders>
          <w:top w:val="single" w:sz="4" w:space="0" w:color="F1B51C" w:themeColor="accent4"/>
          <w:bottom w:val="single" w:sz="4" w:space="0" w:color="F1B51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B51C" w:themeColor="accent4"/>
          <w:left w:val="nil"/>
        </w:tcBorders>
      </w:tcPr>
    </w:tblStylePr>
    <w:tblStylePr w:type="swCell">
      <w:tblPr/>
      <w:tcPr>
        <w:tcBorders>
          <w:top w:val="double" w:sz="4" w:space="0" w:color="F1B51C" w:themeColor="accent4"/>
          <w:right w:val="nil"/>
        </w:tcBorders>
      </w:tcPr>
    </w:tblStylePr>
  </w:style>
  <w:style w:type="table" w:styleId="ListTable3-Accent5">
    <w:name w:val="List Table 3 Accent 5"/>
    <w:basedOn w:val="TableNormal"/>
    <w:rsid w:val="00B36B45"/>
    <w:pPr>
      <w:spacing w:after="0" w:line="240" w:lineRule="auto"/>
    </w:pPr>
    <w:tblPr>
      <w:tblStyleRowBandSize w:val="1"/>
      <w:tblStyleColBandSize w:val="1"/>
      <w:tblBorders>
        <w:top w:val="single" w:sz="4" w:space="0" w:color="189394" w:themeColor="accent5"/>
        <w:left w:val="single" w:sz="4" w:space="0" w:color="189394" w:themeColor="accent5"/>
        <w:bottom w:val="single" w:sz="4" w:space="0" w:color="189394" w:themeColor="accent5"/>
        <w:right w:val="single" w:sz="4" w:space="0" w:color="189394" w:themeColor="accent5"/>
      </w:tblBorders>
    </w:tblPr>
    <w:tblStylePr w:type="firstRow">
      <w:rPr>
        <w:b/>
        <w:bCs/>
        <w:color w:val="FFFFFF" w:themeColor="background1"/>
      </w:rPr>
      <w:tblPr/>
      <w:tcPr>
        <w:shd w:val="clear" w:color="auto" w:fill="189394" w:themeFill="accent5"/>
      </w:tcPr>
    </w:tblStylePr>
    <w:tblStylePr w:type="lastRow">
      <w:rPr>
        <w:b/>
        <w:bCs/>
      </w:rPr>
      <w:tblPr/>
      <w:tcPr>
        <w:tcBorders>
          <w:top w:val="double" w:sz="4" w:space="0" w:color="18939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9394" w:themeColor="accent5"/>
          <w:right w:val="single" w:sz="4" w:space="0" w:color="189394" w:themeColor="accent5"/>
        </w:tcBorders>
      </w:tcPr>
    </w:tblStylePr>
    <w:tblStylePr w:type="band1Horz">
      <w:tblPr/>
      <w:tcPr>
        <w:tcBorders>
          <w:top w:val="single" w:sz="4" w:space="0" w:color="189394" w:themeColor="accent5"/>
          <w:bottom w:val="single" w:sz="4" w:space="0" w:color="18939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9394" w:themeColor="accent5"/>
          <w:left w:val="nil"/>
        </w:tcBorders>
      </w:tcPr>
    </w:tblStylePr>
    <w:tblStylePr w:type="swCell">
      <w:tblPr/>
      <w:tcPr>
        <w:tcBorders>
          <w:top w:val="double" w:sz="4" w:space="0" w:color="189394" w:themeColor="accent5"/>
          <w:right w:val="nil"/>
        </w:tcBorders>
      </w:tcPr>
    </w:tblStylePr>
  </w:style>
  <w:style w:type="table" w:styleId="ListTable3-Accent6">
    <w:name w:val="List Table 3 Accent 6"/>
    <w:basedOn w:val="TableNormal"/>
    <w:rsid w:val="00B36B45"/>
    <w:pPr>
      <w:spacing w:after="0" w:line="240" w:lineRule="auto"/>
    </w:pPr>
    <w:tblPr>
      <w:tblStyleRowBandSize w:val="1"/>
      <w:tblStyleColBandSize w:val="1"/>
      <w:tblBorders>
        <w:top w:val="single" w:sz="4" w:space="0" w:color="17A673" w:themeColor="accent6"/>
        <w:left w:val="single" w:sz="4" w:space="0" w:color="17A673" w:themeColor="accent6"/>
        <w:bottom w:val="single" w:sz="4" w:space="0" w:color="17A673" w:themeColor="accent6"/>
        <w:right w:val="single" w:sz="4" w:space="0" w:color="17A673" w:themeColor="accent6"/>
      </w:tblBorders>
    </w:tblPr>
    <w:tblStylePr w:type="firstRow">
      <w:rPr>
        <w:b/>
        <w:bCs/>
        <w:color w:val="FFFFFF" w:themeColor="background1"/>
      </w:rPr>
      <w:tblPr/>
      <w:tcPr>
        <w:shd w:val="clear" w:color="auto" w:fill="17A673" w:themeFill="accent6"/>
      </w:tcPr>
    </w:tblStylePr>
    <w:tblStylePr w:type="lastRow">
      <w:rPr>
        <w:b/>
        <w:bCs/>
      </w:rPr>
      <w:tblPr/>
      <w:tcPr>
        <w:tcBorders>
          <w:top w:val="double" w:sz="4" w:space="0" w:color="17A6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673" w:themeColor="accent6"/>
          <w:right w:val="single" w:sz="4" w:space="0" w:color="17A673" w:themeColor="accent6"/>
        </w:tcBorders>
      </w:tcPr>
    </w:tblStylePr>
    <w:tblStylePr w:type="band1Horz">
      <w:tblPr/>
      <w:tcPr>
        <w:tcBorders>
          <w:top w:val="single" w:sz="4" w:space="0" w:color="17A673" w:themeColor="accent6"/>
          <w:bottom w:val="single" w:sz="4" w:space="0" w:color="17A6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673" w:themeColor="accent6"/>
          <w:left w:val="nil"/>
        </w:tcBorders>
      </w:tcPr>
    </w:tblStylePr>
    <w:tblStylePr w:type="swCell">
      <w:tblPr/>
      <w:tcPr>
        <w:tcBorders>
          <w:top w:val="double" w:sz="4" w:space="0" w:color="17A673" w:themeColor="accent6"/>
          <w:right w:val="nil"/>
        </w:tcBorders>
      </w:tcPr>
    </w:tblStylePr>
  </w:style>
  <w:style w:type="table" w:styleId="ListTable4">
    <w:name w:val="List Table 4"/>
    <w:basedOn w:val="TableNormal"/>
    <w:rsid w:val="00B36B4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rsid w:val="00B36B45"/>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tblBorders>
    </w:tblPr>
    <w:tblStylePr w:type="firstRow">
      <w:rPr>
        <w:b/>
        <w:bCs/>
        <w:color w:val="FFFFFF" w:themeColor="background1"/>
      </w:rPr>
      <w:tblPr/>
      <w:tcPr>
        <w:tcBorders>
          <w:top w:val="single" w:sz="4" w:space="0" w:color="0B2949" w:themeColor="accent1"/>
          <w:left w:val="single" w:sz="4" w:space="0" w:color="0B2949" w:themeColor="accent1"/>
          <w:bottom w:val="single" w:sz="4" w:space="0" w:color="0B2949" w:themeColor="accent1"/>
          <w:right w:val="single" w:sz="4" w:space="0" w:color="0B2949" w:themeColor="accent1"/>
          <w:insideH w:val="nil"/>
        </w:tcBorders>
        <w:shd w:val="clear" w:color="auto" w:fill="0B2949" w:themeFill="accent1"/>
      </w:tcPr>
    </w:tblStylePr>
    <w:tblStylePr w:type="lastRow">
      <w:rPr>
        <w:b/>
        <w:bCs/>
      </w:rPr>
      <w:tblPr/>
      <w:tcPr>
        <w:tcBorders>
          <w:top w:val="doub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4-Accent2">
    <w:name w:val="List Table 4 Accent 2"/>
    <w:basedOn w:val="TableNormal"/>
    <w:rsid w:val="00B36B4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tblBorders>
    </w:tblPr>
    <w:tblStylePr w:type="firstRow">
      <w:rPr>
        <w:b/>
        <w:bCs/>
        <w:color w:val="FFFFFF" w:themeColor="background1"/>
      </w:rPr>
      <w:tblPr/>
      <w:tcPr>
        <w:tcBorders>
          <w:top w:val="single" w:sz="4" w:space="0" w:color="D02B27" w:themeColor="accent2"/>
          <w:left w:val="single" w:sz="4" w:space="0" w:color="D02B27" w:themeColor="accent2"/>
          <w:bottom w:val="single" w:sz="4" w:space="0" w:color="D02B27" w:themeColor="accent2"/>
          <w:right w:val="single" w:sz="4" w:space="0" w:color="D02B27" w:themeColor="accent2"/>
          <w:insideH w:val="nil"/>
        </w:tcBorders>
        <w:shd w:val="clear" w:color="auto" w:fill="D02B27" w:themeFill="accent2"/>
      </w:tcPr>
    </w:tblStylePr>
    <w:tblStylePr w:type="lastRow">
      <w:rPr>
        <w:b/>
        <w:bCs/>
      </w:rPr>
      <w:tblPr/>
      <w:tcPr>
        <w:tcBorders>
          <w:top w:val="doub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4-Accent3">
    <w:name w:val="List Table 4 Accent 3"/>
    <w:basedOn w:val="TableNormal"/>
    <w:rsid w:val="00B36B4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tblBorders>
    </w:tblPr>
    <w:tblStylePr w:type="firstRow">
      <w:rPr>
        <w:b/>
        <w:bCs/>
        <w:color w:val="FFFFFF" w:themeColor="background1"/>
      </w:rPr>
      <w:tblPr/>
      <w:tcPr>
        <w:tcBorders>
          <w:top w:val="single" w:sz="4" w:space="0" w:color="5B6771" w:themeColor="accent3"/>
          <w:left w:val="single" w:sz="4" w:space="0" w:color="5B6771" w:themeColor="accent3"/>
          <w:bottom w:val="single" w:sz="4" w:space="0" w:color="5B6771" w:themeColor="accent3"/>
          <w:right w:val="single" w:sz="4" w:space="0" w:color="5B6771" w:themeColor="accent3"/>
          <w:insideH w:val="nil"/>
        </w:tcBorders>
        <w:shd w:val="clear" w:color="auto" w:fill="5B6771" w:themeFill="accent3"/>
      </w:tcPr>
    </w:tblStylePr>
    <w:tblStylePr w:type="lastRow">
      <w:rPr>
        <w:b/>
        <w:bCs/>
      </w:rPr>
      <w:tblPr/>
      <w:tcPr>
        <w:tcBorders>
          <w:top w:val="doub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4-Accent4">
    <w:name w:val="List Table 4 Accent 4"/>
    <w:basedOn w:val="TableNormal"/>
    <w:rsid w:val="00B36B4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tblBorders>
    </w:tblPr>
    <w:tblStylePr w:type="firstRow">
      <w:rPr>
        <w:b/>
        <w:bCs/>
        <w:color w:val="FFFFFF" w:themeColor="background1"/>
      </w:rPr>
      <w:tblPr/>
      <w:tcPr>
        <w:tcBorders>
          <w:top w:val="single" w:sz="4" w:space="0" w:color="F1B51C" w:themeColor="accent4"/>
          <w:left w:val="single" w:sz="4" w:space="0" w:color="F1B51C" w:themeColor="accent4"/>
          <w:bottom w:val="single" w:sz="4" w:space="0" w:color="F1B51C" w:themeColor="accent4"/>
          <w:right w:val="single" w:sz="4" w:space="0" w:color="F1B51C" w:themeColor="accent4"/>
          <w:insideH w:val="nil"/>
        </w:tcBorders>
        <w:shd w:val="clear" w:color="auto" w:fill="F1B51C" w:themeFill="accent4"/>
      </w:tcPr>
    </w:tblStylePr>
    <w:tblStylePr w:type="lastRow">
      <w:rPr>
        <w:b/>
        <w:bCs/>
      </w:rPr>
      <w:tblPr/>
      <w:tcPr>
        <w:tcBorders>
          <w:top w:val="doub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4-Accent5">
    <w:name w:val="List Table 4 Accent 5"/>
    <w:basedOn w:val="TableNormal"/>
    <w:rsid w:val="00B36B4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tblBorders>
    </w:tblPr>
    <w:tblStylePr w:type="firstRow">
      <w:rPr>
        <w:b/>
        <w:bCs/>
        <w:color w:val="FFFFFF" w:themeColor="background1"/>
      </w:rPr>
      <w:tblPr/>
      <w:tcPr>
        <w:tcBorders>
          <w:top w:val="single" w:sz="4" w:space="0" w:color="189394" w:themeColor="accent5"/>
          <w:left w:val="single" w:sz="4" w:space="0" w:color="189394" w:themeColor="accent5"/>
          <w:bottom w:val="single" w:sz="4" w:space="0" w:color="189394" w:themeColor="accent5"/>
          <w:right w:val="single" w:sz="4" w:space="0" w:color="189394" w:themeColor="accent5"/>
          <w:insideH w:val="nil"/>
        </w:tcBorders>
        <w:shd w:val="clear" w:color="auto" w:fill="189394" w:themeFill="accent5"/>
      </w:tcPr>
    </w:tblStylePr>
    <w:tblStylePr w:type="lastRow">
      <w:rPr>
        <w:b/>
        <w:bCs/>
      </w:rPr>
      <w:tblPr/>
      <w:tcPr>
        <w:tcBorders>
          <w:top w:val="doub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4-Accent6">
    <w:name w:val="List Table 4 Accent 6"/>
    <w:basedOn w:val="TableNormal"/>
    <w:rsid w:val="00B36B4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tblBorders>
    </w:tblPr>
    <w:tblStylePr w:type="firstRow">
      <w:rPr>
        <w:b/>
        <w:bCs/>
        <w:color w:val="FFFFFF" w:themeColor="background1"/>
      </w:rPr>
      <w:tblPr/>
      <w:tcPr>
        <w:tcBorders>
          <w:top w:val="single" w:sz="4" w:space="0" w:color="17A673" w:themeColor="accent6"/>
          <w:left w:val="single" w:sz="4" w:space="0" w:color="17A673" w:themeColor="accent6"/>
          <w:bottom w:val="single" w:sz="4" w:space="0" w:color="17A673" w:themeColor="accent6"/>
          <w:right w:val="single" w:sz="4" w:space="0" w:color="17A673" w:themeColor="accent6"/>
          <w:insideH w:val="nil"/>
        </w:tcBorders>
        <w:shd w:val="clear" w:color="auto" w:fill="17A673" w:themeFill="accent6"/>
      </w:tcPr>
    </w:tblStylePr>
    <w:tblStylePr w:type="lastRow">
      <w:rPr>
        <w:b/>
        <w:bCs/>
      </w:rPr>
      <w:tblPr/>
      <w:tcPr>
        <w:tcBorders>
          <w:top w:val="doub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5Dark">
    <w:name w:val="List Table 5 Dark"/>
    <w:basedOn w:val="TableNormal"/>
    <w:rsid w:val="00B36B4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rsid w:val="00B36B45"/>
    <w:pPr>
      <w:spacing w:after="0" w:line="240" w:lineRule="auto"/>
    </w:pPr>
    <w:rPr>
      <w:color w:val="FFFFFF" w:themeColor="background1"/>
    </w:rPr>
    <w:tblPr>
      <w:tblStyleRowBandSize w:val="1"/>
      <w:tblStyleColBandSize w:val="1"/>
      <w:tblBorders>
        <w:top w:val="single" w:sz="24" w:space="0" w:color="0B2949" w:themeColor="accent1"/>
        <w:left w:val="single" w:sz="24" w:space="0" w:color="0B2949" w:themeColor="accent1"/>
        <w:bottom w:val="single" w:sz="24" w:space="0" w:color="0B2949" w:themeColor="accent1"/>
        <w:right w:val="single" w:sz="24" w:space="0" w:color="0B2949" w:themeColor="accent1"/>
      </w:tblBorders>
    </w:tblPr>
    <w:tcPr>
      <w:shd w:val="clear" w:color="auto" w:fill="0B294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rsid w:val="00B36B45"/>
    <w:pPr>
      <w:spacing w:after="0" w:line="240" w:lineRule="auto"/>
    </w:pPr>
    <w:rPr>
      <w:color w:val="FFFFFF" w:themeColor="background1"/>
    </w:rPr>
    <w:tblPr>
      <w:tblStyleRowBandSize w:val="1"/>
      <w:tblStyleColBandSize w:val="1"/>
      <w:tblBorders>
        <w:top w:val="single" w:sz="24" w:space="0" w:color="D02B27" w:themeColor="accent2"/>
        <w:left w:val="single" w:sz="24" w:space="0" w:color="D02B27" w:themeColor="accent2"/>
        <w:bottom w:val="single" w:sz="24" w:space="0" w:color="D02B27" w:themeColor="accent2"/>
        <w:right w:val="single" w:sz="24" w:space="0" w:color="D02B27" w:themeColor="accent2"/>
      </w:tblBorders>
    </w:tblPr>
    <w:tcPr>
      <w:shd w:val="clear" w:color="auto" w:fill="D02B2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rsid w:val="00B36B45"/>
    <w:pPr>
      <w:spacing w:after="0" w:line="240" w:lineRule="auto"/>
    </w:pPr>
    <w:rPr>
      <w:color w:val="FFFFFF" w:themeColor="background1"/>
    </w:rPr>
    <w:tblPr>
      <w:tblStyleRowBandSize w:val="1"/>
      <w:tblStyleColBandSize w:val="1"/>
      <w:tblBorders>
        <w:top w:val="single" w:sz="24" w:space="0" w:color="5B6771" w:themeColor="accent3"/>
        <w:left w:val="single" w:sz="24" w:space="0" w:color="5B6771" w:themeColor="accent3"/>
        <w:bottom w:val="single" w:sz="24" w:space="0" w:color="5B6771" w:themeColor="accent3"/>
        <w:right w:val="single" w:sz="24" w:space="0" w:color="5B6771" w:themeColor="accent3"/>
      </w:tblBorders>
    </w:tblPr>
    <w:tcPr>
      <w:shd w:val="clear" w:color="auto" w:fill="5B677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rsid w:val="00B36B45"/>
    <w:pPr>
      <w:spacing w:after="0" w:line="240" w:lineRule="auto"/>
    </w:pPr>
    <w:rPr>
      <w:color w:val="FFFFFF" w:themeColor="background1"/>
    </w:rPr>
    <w:tblPr>
      <w:tblStyleRowBandSize w:val="1"/>
      <w:tblStyleColBandSize w:val="1"/>
      <w:tblBorders>
        <w:top w:val="single" w:sz="24" w:space="0" w:color="F1B51C" w:themeColor="accent4"/>
        <w:left w:val="single" w:sz="24" w:space="0" w:color="F1B51C" w:themeColor="accent4"/>
        <w:bottom w:val="single" w:sz="24" w:space="0" w:color="F1B51C" w:themeColor="accent4"/>
        <w:right w:val="single" w:sz="24" w:space="0" w:color="F1B51C" w:themeColor="accent4"/>
      </w:tblBorders>
    </w:tblPr>
    <w:tcPr>
      <w:shd w:val="clear" w:color="auto" w:fill="F1B51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rsid w:val="00B36B45"/>
    <w:pPr>
      <w:spacing w:after="0" w:line="240" w:lineRule="auto"/>
    </w:pPr>
    <w:rPr>
      <w:color w:val="FFFFFF" w:themeColor="background1"/>
    </w:rPr>
    <w:tblPr>
      <w:tblStyleRowBandSize w:val="1"/>
      <w:tblStyleColBandSize w:val="1"/>
      <w:tblBorders>
        <w:top w:val="single" w:sz="24" w:space="0" w:color="189394" w:themeColor="accent5"/>
        <w:left w:val="single" w:sz="24" w:space="0" w:color="189394" w:themeColor="accent5"/>
        <w:bottom w:val="single" w:sz="24" w:space="0" w:color="189394" w:themeColor="accent5"/>
        <w:right w:val="single" w:sz="24" w:space="0" w:color="189394" w:themeColor="accent5"/>
      </w:tblBorders>
    </w:tblPr>
    <w:tcPr>
      <w:shd w:val="clear" w:color="auto" w:fill="18939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rsid w:val="00B36B45"/>
    <w:pPr>
      <w:spacing w:after="0" w:line="240" w:lineRule="auto"/>
    </w:pPr>
    <w:rPr>
      <w:color w:val="FFFFFF" w:themeColor="background1"/>
    </w:rPr>
    <w:tblPr>
      <w:tblStyleRowBandSize w:val="1"/>
      <w:tblStyleColBandSize w:val="1"/>
      <w:tblBorders>
        <w:top w:val="single" w:sz="24" w:space="0" w:color="17A673" w:themeColor="accent6"/>
        <w:left w:val="single" w:sz="24" w:space="0" w:color="17A673" w:themeColor="accent6"/>
        <w:bottom w:val="single" w:sz="24" w:space="0" w:color="17A673" w:themeColor="accent6"/>
        <w:right w:val="single" w:sz="24" w:space="0" w:color="17A673" w:themeColor="accent6"/>
      </w:tblBorders>
    </w:tblPr>
    <w:tcPr>
      <w:shd w:val="clear" w:color="auto" w:fill="17A6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rsid w:val="00B36B4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rsid w:val="00B36B45"/>
    <w:pPr>
      <w:spacing w:after="0" w:line="240" w:lineRule="auto"/>
    </w:pPr>
    <w:rPr>
      <w:color w:val="081E36" w:themeColor="accent1" w:themeShade="BF"/>
    </w:rPr>
    <w:tblPr>
      <w:tblStyleRowBandSize w:val="1"/>
      <w:tblStyleColBandSize w:val="1"/>
      <w:tblBorders>
        <w:top w:val="single" w:sz="4" w:space="0" w:color="0B2949" w:themeColor="accent1"/>
        <w:bottom w:val="single" w:sz="4" w:space="0" w:color="0B2949" w:themeColor="accent1"/>
      </w:tblBorders>
    </w:tblPr>
    <w:tblStylePr w:type="firstRow">
      <w:rPr>
        <w:b/>
        <w:bCs/>
      </w:rPr>
      <w:tblPr/>
      <w:tcPr>
        <w:tcBorders>
          <w:bottom w:val="single" w:sz="4" w:space="0" w:color="0B2949" w:themeColor="accent1"/>
        </w:tcBorders>
      </w:tcPr>
    </w:tblStylePr>
    <w:tblStylePr w:type="lastRow">
      <w:rPr>
        <w:b/>
        <w:bCs/>
      </w:rPr>
      <w:tblPr/>
      <w:tcPr>
        <w:tcBorders>
          <w:top w:val="double" w:sz="4" w:space="0" w:color="0B2949" w:themeColor="accent1"/>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6Colorful-Accent2">
    <w:name w:val="List Table 6 Colorful Accent 2"/>
    <w:basedOn w:val="TableNormal"/>
    <w:rsid w:val="00B36B45"/>
    <w:pPr>
      <w:spacing w:after="0" w:line="240" w:lineRule="auto"/>
    </w:pPr>
    <w:rPr>
      <w:color w:val="9B201D" w:themeColor="accent2" w:themeShade="BF"/>
    </w:rPr>
    <w:tblPr>
      <w:tblStyleRowBandSize w:val="1"/>
      <w:tblStyleColBandSize w:val="1"/>
      <w:tblBorders>
        <w:top w:val="single" w:sz="4" w:space="0" w:color="D02B27" w:themeColor="accent2"/>
        <w:bottom w:val="single" w:sz="4" w:space="0" w:color="D02B27" w:themeColor="accent2"/>
      </w:tblBorders>
    </w:tblPr>
    <w:tblStylePr w:type="firstRow">
      <w:rPr>
        <w:b/>
        <w:bCs/>
      </w:rPr>
      <w:tblPr/>
      <w:tcPr>
        <w:tcBorders>
          <w:bottom w:val="single" w:sz="4" w:space="0" w:color="D02B27" w:themeColor="accent2"/>
        </w:tcBorders>
      </w:tcPr>
    </w:tblStylePr>
    <w:tblStylePr w:type="lastRow">
      <w:rPr>
        <w:b/>
        <w:bCs/>
      </w:rPr>
      <w:tblPr/>
      <w:tcPr>
        <w:tcBorders>
          <w:top w:val="double" w:sz="4" w:space="0" w:color="D02B27" w:themeColor="accent2"/>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6Colorful-Accent3">
    <w:name w:val="List Table 6 Colorful Accent 3"/>
    <w:basedOn w:val="TableNormal"/>
    <w:rsid w:val="00B36B45"/>
    <w:pPr>
      <w:spacing w:after="0" w:line="240" w:lineRule="auto"/>
    </w:pPr>
    <w:rPr>
      <w:color w:val="444D54" w:themeColor="accent3" w:themeShade="BF"/>
    </w:rPr>
    <w:tblPr>
      <w:tblStyleRowBandSize w:val="1"/>
      <w:tblStyleColBandSize w:val="1"/>
      <w:tblBorders>
        <w:top w:val="single" w:sz="4" w:space="0" w:color="5B6771" w:themeColor="accent3"/>
        <w:bottom w:val="single" w:sz="4" w:space="0" w:color="5B6771" w:themeColor="accent3"/>
      </w:tblBorders>
    </w:tblPr>
    <w:tblStylePr w:type="firstRow">
      <w:rPr>
        <w:b/>
        <w:bCs/>
      </w:rPr>
      <w:tblPr/>
      <w:tcPr>
        <w:tcBorders>
          <w:bottom w:val="single" w:sz="4" w:space="0" w:color="5B6771" w:themeColor="accent3"/>
        </w:tcBorders>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6Colorful-Accent4">
    <w:name w:val="List Table 6 Colorful Accent 4"/>
    <w:basedOn w:val="TableNormal"/>
    <w:rsid w:val="00B36B45"/>
    <w:pPr>
      <w:spacing w:after="0" w:line="240" w:lineRule="auto"/>
    </w:pPr>
    <w:rPr>
      <w:color w:val="BD8B0B" w:themeColor="accent4" w:themeShade="BF"/>
    </w:rPr>
    <w:tblPr>
      <w:tblStyleRowBandSize w:val="1"/>
      <w:tblStyleColBandSize w:val="1"/>
      <w:tblBorders>
        <w:top w:val="single" w:sz="4" w:space="0" w:color="F1B51C" w:themeColor="accent4"/>
        <w:bottom w:val="single" w:sz="4" w:space="0" w:color="F1B51C" w:themeColor="accent4"/>
      </w:tblBorders>
    </w:tblPr>
    <w:tblStylePr w:type="firstRow">
      <w:rPr>
        <w:b/>
        <w:bCs/>
      </w:rPr>
      <w:tblPr/>
      <w:tcPr>
        <w:tcBorders>
          <w:bottom w:val="single" w:sz="4" w:space="0" w:color="F1B51C" w:themeColor="accent4"/>
        </w:tcBorders>
      </w:tcPr>
    </w:tblStylePr>
    <w:tblStylePr w:type="lastRow">
      <w:rPr>
        <w:b/>
        <w:bCs/>
      </w:rPr>
      <w:tblPr/>
      <w:tcPr>
        <w:tcBorders>
          <w:top w:val="double" w:sz="4" w:space="0" w:color="F1B51C" w:themeColor="accent4"/>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6Colorful-Accent5">
    <w:name w:val="List Table 6 Colorful Accent 5"/>
    <w:basedOn w:val="TableNormal"/>
    <w:rsid w:val="00B36B45"/>
    <w:pPr>
      <w:spacing w:after="0" w:line="240" w:lineRule="auto"/>
    </w:pPr>
    <w:rPr>
      <w:color w:val="126D6E" w:themeColor="accent5" w:themeShade="BF"/>
    </w:rPr>
    <w:tblPr>
      <w:tblStyleRowBandSize w:val="1"/>
      <w:tblStyleColBandSize w:val="1"/>
      <w:tblBorders>
        <w:top w:val="single" w:sz="4" w:space="0" w:color="189394" w:themeColor="accent5"/>
        <w:bottom w:val="single" w:sz="4" w:space="0" w:color="189394" w:themeColor="accent5"/>
      </w:tblBorders>
    </w:tblPr>
    <w:tblStylePr w:type="firstRow">
      <w:rPr>
        <w:b/>
        <w:bCs/>
      </w:rPr>
      <w:tblPr/>
      <w:tcPr>
        <w:tcBorders>
          <w:bottom w:val="single" w:sz="4" w:space="0" w:color="189394" w:themeColor="accent5"/>
        </w:tcBorders>
      </w:tcPr>
    </w:tblStylePr>
    <w:tblStylePr w:type="lastRow">
      <w:rPr>
        <w:b/>
        <w:bCs/>
      </w:rPr>
      <w:tblPr/>
      <w:tcPr>
        <w:tcBorders>
          <w:top w:val="double" w:sz="4" w:space="0" w:color="189394" w:themeColor="accent5"/>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6Colorful-Accent6">
    <w:name w:val="List Table 6 Colorful Accent 6"/>
    <w:basedOn w:val="TableNormal"/>
    <w:rsid w:val="00B36B45"/>
    <w:pPr>
      <w:spacing w:after="0" w:line="240" w:lineRule="auto"/>
    </w:pPr>
    <w:rPr>
      <w:color w:val="117C55" w:themeColor="accent6" w:themeShade="BF"/>
    </w:rPr>
    <w:tblPr>
      <w:tblStyleRowBandSize w:val="1"/>
      <w:tblStyleColBandSize w:val="1"/>
      <w:tblBorders>
        <w:top w:val="single" w:sz="4" w:space="0" w:color="17A673" w:themeColor="accent6"/>
        <w:bottom w:val="single" w:sz="4" w:space="0" w:color="17A673" w:themeColor="accent6"/>
      </w:tblBorders>
    </w:tblPr>
    <w:tblStylePr w:type="firstRow">
      <w:rPr>
        <w:b/>
        <w:bCs/>
      </w:rPr>
      <w:tblPr/>
      <w:tcPr>
        <w:tcBorders>
          <w:bottom w:val="single" w:sz="4" w:space="0" w:color="17A673" w:themeColor="accent6"/>
        </w:tcBorders>
      </w:tcPr>
    </w:tblStylePr>
    <w:tblStylePr w:type="lastRow">
      <w:rPr>
        <w:b/>
        <w:bCs/>
      </w:rPr>
      <w:tblPr/>
      <w:tcPr>
        <w:tcBorders>
          <w:top w:val="double" w:sz="4" w:space="0" w:color="17A673" w:themeColor="accent6"/>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7Colorful">
    <w:name w:val="List Table 7 Colorful"/>
    <w:basedOn w:val="TableNormal"/>
    <w:rsid w:val="00B36B4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rsid w:val="00B36B45"/>
    <w:pPr>
      <w:spacing w:after="0" w:line="240" w:lineRule="auto"/>
    </w:pPr>
    <w:rPr>
      <w:color w:val="081E3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294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B294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294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B2949" w:themeColor="accent1"/>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rsid w:val="00B36B45"/>
    <w:pPr>
      <w:spacing w:after="0" w:line="240" w:lineRule="auto"/>
    </w:pPr>
    <w:rPr>
      <w:color w:val="9B201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B2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B2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B2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B27" w:themeColor="accent2"/>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rsid w:val="00B36B45"/>
    <w:pPr>
      <w:spacing w:after="0" w:line="240" w:lineRule="auto"/>
    </w:pPr>
    <w:rPr>
      <w:color w:val="444D5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1" w:themeColor="accent3"/>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rsid w:val="00B36B45"/>
    <w:pPr>
      <w:spacing w:after="0" w:line="240" w:lineRule="auto"/>
    </w:pPr>
    <w:rPr>
      <w:color w:val="BD8B0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B51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B51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B51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B51C" w:themeColor="accent4"/>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rsid w:val="00B36B45"/>
    <w:pPr>
      <w:spacing w:after="0" w:line="240" w:lineRule="auto"/>
    </w:pPr>
    <w:rPr>
      <w:color w:val="126D6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939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939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939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9394" w:themeColor="accent5"/>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rsid w:val="00B36B45"/>
    <w:pPr>
      <w:spacing w:after="0" w:line="240" w:lineRule="auto"/>
    </w:pPr>
    <w:rPr>
      <w:color w:val="117C5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A6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6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6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673" w:themeColor="accent6"/>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nhideWhenUsed/>
    <w:rsid w:val="00B36B4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nhideWhenUsed/>
    <w:rsid w:val="00B36B45"/>
    <w:pPr>
      <w:spacing w:after="0" w:line="240" w:lineRule="auto"/>
    </w:pPr>
    <w:tblPr>
      <w:tblStyleRowBandSize w:val="1"/>
      <w:tblStyleColBandSize w:val="1"/>
      <w:tbl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single" w:sz="8" w:space="0" w:color="195CA5" w:themeColor="accent1" w:themeTint="BF"/>
        <w:insideV w:val="single" w:sz="8" w:space="0" w:color="195CA5" w:themeColor="accent1" w:themeTint="BF"/>
      </w:tblBorders>
    </w:tblPr>
    <w:tcPr>
      <w:shd w:val="clear" w:color="auto" w:fill="A3C8F1" w:themeFill="accent1" w:themeFillTint="3F"/>
    </w:tcPr>
    <w:tblStylePr w:type="firstRow">
      <w:rPr>
        <w:b/>
        <w:bCs/>
      </w:rPr>
    </w:tblStylePr>
    <w:tblStylePr w:type="lastRow">
      <w:rPr>
        <w:b/>
        <w:bCs/>
      </w:rPr>
      <w:tblPr/>
      <w:tcPr>
        <w:tcBorders>
          <w:top w:val="single" w:sz="18" w:space="0" w:color="195CA5" w:themeColor="accent1" w:themeTint="BF"/>
        </w:tcBorders>
      </w:tcPr>
    </w:tblStylePr>
    <w:tblStylePr w:type="firstCol">
      <w:rPr>
        <w:b/>
        <w:bCs/>
      </w:rPr>
    </w:tblStylePr>
    <w:tblStylePr w:type="lastCol">
      <w:rPr>
        <w:b/>
        <w:bCs/>
      </w:rPr>
    </w:tblStylePr>
    <w:tblStylePr w:type="band1Vert">
      <w:tblPr/>
      <w:tcPr>
        <w:shd w:val="clear" w:color="auto" w:fill="4692E3" w:themeFill="accent1" w:themeFillTint="7F"/>
      </w:tcPr>
    </w:tblStylePr>
    <w:tblStylePr w:type="band1Horz">
      <w:tblPr/>
      <w:tcPr>
        <w:shd w:val="clear" w:color="auto" w:fill="4692E3" w:themeFill="accent1" w:themeFillTint="7F"/>
      </w:tcPr>
    </w:tblStylePr>
  </w:style>
  <w:style w:type="table" w:styleId="MediumGrid1-Accent2">
    <w:name w:val="Medium Grid 1 Accent 2"/>
    <w:basedOn w:val="TableNormal"/>
    <w:unhideWhenUsed/>
    <w:rsid w:val="00B36B45"/>
    <w:pPr>
      <w:spacing w:after="0" w:line="240" w:lineRule="auto"/>
    </w:pPr>
    <w:tblPr>
      <w:tblStyleRowBandSize w:val="1"/>
      <w:tblStyleColBandSize w:val="1"/>
      <w:tbl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single" w:sz="8" w:space="0" w:color="E05C59" w:themeColor="accent2" w:themeTint="BF"/>
        <w:insideV w:val="single" w:sz="8" w:space="0" w:color="E05C59" w:themeColor="accent2" w:themeTint="BF"/>
      </w:tblBorders>
    </w:tblPr>
    <w:tcPr>
      <w:shd w:val="clear" w:color="auto" w:fill="F4C9C8" w:themeFill="accent2" w:themeFillTint="3F"/>
    </w:tcPr>
    <w:tblStylePr w:type="firstRow">
      <w:rPr>
        <w:b/>
        <w:bCs/>
      </w:rPr>
    </w:tblStylePr>
    <w:tblStylePr w:type="lastRow">
      <w:rPr>
        <w:b/>
        <w:bCs/>
      </w:rPr>
      <w:tblPr/>
      <w:tcPr>
        <w:tcBorders>
          <w:top w:val="single" w:sz="18" w:space="0" w:color="E05C59" w:themeColor="accent2" w:themeTint="BF"/>
        </w:tcBorders>
      </w:tcPr>
    </w:tblStylePr>
    <w:tblStylePr w:type="firstCol">
      <w:rPr>
        <w:b/>
        <w:bCs/>
      </w:rPr>
    </w:tblStylePr>
    <w:tblStylePr w:type="lastCol">
      <w:rPr>
        <w:b/>
        <w:bCs/>
      </w:rPr>
    </w:tblStylePr>
    <w:tblStylePr w:type="band1Vert">
      <w:tblPr/>
      <w:tcPr>
        <w:shd w:val="clear" w:color="auto" w:fill="EA9290" w:themeFill="accent2" w:themeFillTint="7F"/>
      </w:tcPr>
    </w:tblStylePr>
    <w:tblStylePr w:type="band1Horz">
      <w:tblPr/>
      <w:tcPr>
        <w:shd w:val="clear" w:color="auto" w:fill="EA9290" w:themeFill="accent2" w:themeFillTint="7F"/>
      </w:tcPr>
    </w:tblStylePr>
  </w:style>
  <w:style w:type="table" w:styleId="MediumGrid1-Accent3">
    <w:name w:val="Medium Grid 1 Accent 3"/>
    <w:basedOn w:val="TableNormal"/>
    <w:unhideWhenUsed/>
    <w:rsid w:val="00B36B45"/>
    <w:pPr>
      <w:spacing w:after="0" w:line="240" w:lineRule="auto"/>
    </w:pPr>
    <w:tblPr>
      <w:tblStyleRowBandSize w:val="1"/>
      <w:tblStyleColBandSize w:val="1"/>
      <w:tbl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single" w:sz="8" w:space="0" w:color="7F8D98" w:themeColor="accent3" w:themeTint="BF"/>
        <w:insideV w:val="single" w:sz="8" w:space="0" w:color="7F8D98" w:themeColor="accent3" w:themeTint="BF"/>
      </w:tblBorders>
    </w:tblPr>
    <w:tcPr>
      <w:shd w:val="clear" w:color="auto" w:fill="D5D9DD" w:themeFill="accent3" w:themeFillTint="3F"/>
    </w:tcPr>
    <w:tblStylePr w:type="firstRow">
      <w:rPr>
        <w:b/>
        <w:bCs/>
      </w:rPr>
    </w:tblStylePr>
    <w:tblStylePr w:type="lastRow">
      <w:rPr>
        <w:b/>
        <w:bCs/>
      </w:rPr>
      <w:tblPr/>
      <w:tcPr>
        <w:tcBorders>
          <w:top w:val="single" w:sz="18" w:space="0" w:color="7F8D98" w:themeColor="accent3" w:themeTint="BF"/>
        </w:tcBorders>
      </w:tcPr>
    </w:tblStylePr>
    <w:tblStylePr w:type="firstCol">
      <w:rPr>
        <w:b/>
        <w:bCs/>
      </w:rPr>
    </w:tblStylePr>
    <w:tblStylePr w:type="lastCol">
      <w:rPr>
        <w:b/>
        <w:bCs/>
      </w:rPr>
    </w:tblStylePr>
    <w:tblStylePr w:type="band1Vert">
      <w:tblPr/>
      <w:tcPr>
        <w:shd w:val="clear" w:color="auto" w:fill="AAB3BB" w:themeFill="accent3" w:themeFillTint="7F"/>
      </w:tcPr>
    </w:tblStylePr>
    <w:tblStylePr w:type="band1Horz">
      <w:tblPr/>
      <w:tcPr>
        <w:shd w:val="clear" w:color="auto" w:fill="AAB3BB" w:themeFill="accent3" w:themeFillTint="7F"/>
      </w:tcPr>
    </w:tblStylePr>
  </w:style>
  <w:style w:type="table" w:styleId="MediumGrid1-Accent4">
    <w:name w:val="Medium Grid 1 Accent 4"/>
    <w:basedOn w:val="TableNormal"/>
    <w:unhideWhenUsed/>
    <w:rsid w:val="00B36B45"/>
    <w:pPr>
      <w:spacing w:after="0" w:line="240" w:lineRule="auto"/>
    </w:pPr>
    <w:tblPr>
      <w:tblStyleRowBandSize w:val="1"/>
      <w:tblStyleColBandSize w:val="1"/>
      <w:tbl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single" w:sz="8" w:space="0" w:color="F4C754" w:themeColor="accent4" w:themeTint="BF"/>
        <w:insideV w:val="single" w:sz="8" w:space="0" w:color="F4C754" w:themeColor="accent4" w:themeTint="BF"/>
      </w:tblBorders>
    </w:tblPr>
    <w:tcPr>
      <w:shd w:val="clear" w:color="auto" w:fill="FBECC6" w:themeFill="accent4" w:themeFillTint="3F"/>
    </w:tcPr>
    <w:tblStylePr w:type="firstRow">
      <w:rPr>
        <w:b/>
        <w:bCs/>
      </w:rPr>
    </w:tblStylePr>
    <w:tblStylePr w:type="lastRow">
      <w:rPr>
        <w:b/>
        <w:bCs/>
      </w:rPr>
      <w:tblPr/>
      <w:tcPr>
        <w:tcBorders>
          <w:top w:val="single" w:sz="18" w:space="0" w:color="F4C754" w:themeColor="accent4" w:themeTint="BF"/>
        </w:tcBorders>
      </w:tcPr>
    </w:tblStylePr>
    <w:tblStylePr w:type="firstCol">
      <w:rPr>
        <w:b/>
        <w:bCs/>
      </w:rPr>
    </w:tblStylePr>
    <w:tblStylePr w:type="lastCol">
      <w:rPr>
        <w:b/>
        <w:bCs/>
      </w:rPr>
    </w:tblStylePr>
    <w:tblStylePr w:type="band1Vert">
      <w:tblPr/>
      <w:tcPr>
        <w:shd w:val="clear" w:color="auto" w:fill="F8DA8D" w:themeFill="accent4" w:themeFillTint="7F"/>
      </w:tcPr>
    </w:tblStylePr>
    <w:tblStylePr w:type="band1Horz">
      <w:tblPr/>
      <w:tcPr>
        <w:shd w:val="clear" w:color="auto" w:fill="F8DA8D" w:themeFill="accent4" w:themeFillTint="7F"/>
      </w:tcPr>
    </w:tblStylePr>
  </w:style>
  <w:style w:type="table" w:styleId="MediumGrid1-Accent5">
    <w:name w:val="Medium Grid 1 Accent 5"/>
    <w:basedOn w:val="TableNormal"/>
    <w:unhideWhenUsed/>
    <w:rsid w:val="00B36B45"/>
    <w:pPr>
      <w:spacing w:after="0" w:line="240" w:lineRule="auto"/>
    </w:pPr>
    <w:tblPr>
      <w:tblStyleRowBandSize w:val="1"/>
      <w:tblStyleColBandSize w:val="1"/>
      <w:tbl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single" w:sz="8" w:space="0" w:color="25D9DB" w:themeColor="accent5" w:themeTint="BF"/>
        <w:insideV w:val="single" w:sz="8" w:space="0" w:color="25D9DB" w:themeColor="accent5" w:themeTint="BF"/>
      </w:tblBorders>
    </w:tblPr>
    <w:tcPr>
      <w:shd w:val="clear" w:color="auto" w:fill="B7F2F3" w:themeFill="accent5" w:themeFillTint="3F"/>
    </w:tcPr>
    <w:tblStylePr w:type="firstRow">
      <w:rPr>
        <w:b/>
        <w:bCs/>
      </w:rPr>
    </w:tblStylePr>
    <w:tblStylePr w:type="lastRow">
      <w:rPr>
        <w:b/>
        <w:bCs/>
      </w:rPr>
      <w:tblPr/>
      <w:tcPr>
        <w:tcBorders>
          <w:top w:val="single" w:sz="18" w:space="0" w:color="25D9DB" w:themeColor="accent5" w:themeTint="BF"/>
        </w:tcBorders>
      </w:tcPr>
    </w:tblStylePr>
    <w:tblStylePr w:type="firstCol">
      <w:rPr>
        <w:b/>
        <w:bCs/>
      </w:rPr>
    </w:tblStylePr>
    <w:tblStylePr w:type="lastCol">
      <w:rPr>
        <w:b/>
        <w:bCs/>
      </w:rPr>
    </w:tblStylePr>
    <w:tblStylePr w:type="band1Vert">
      <w:tblPr/>
      <w:tcPr>
        <w:shd w:val="clear" w:color="auto" w:fill="6DE6E7" w:themeFill="accent5" w:themeFillTint="7F"/>
      </w:tcPr>
    </w:tblStylePr>
    <w:tblStylePr w:type="band1Horz">
      <w:tblPr/>
      <w:tcPr>
        <w:shd w:val="clear" w:color="auto" w:fill="6DE6E7" w:themeFill="accent5" w:themeFillTint="7F"/>
      </w:tcPr>
    </w:tblStylePr>
  </w:style>
  <w:style w:type="table" w:styleId="MediumGrid1-Accent6">
    <w:name w:val="Medium Grid 1 Accent 6"/>
    <w:basedOn w:val="TableNormal"/>
    <w:unhideWhenUsed/>
    <w:rsid w:val="00B36B45"/>
    <w:pPr>
      <w:spacing w:after="0" w:line="240" w:lineRule="auto"/>
    </w:pPr>
    <w:tblPr>
      <w:tblStyleRowBandSize w:val="1"/>
      <w:tblStyleColBandSize w:val="1"/>
      <w:tbl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single" w:sz="8" w:space="0" w:color="2BE1A0" w:themeColor="accent6" w:themeTint="BF"/>
        <w:insideV w:val="single" w:sz="8" w:space="0" w:color="2BE1A0" w:themeColor="accent6" w:themeTint="BF"/>
      </w:tblBorders>
    </w:tblPr>
    <w:tcPr>
      <w:shd w:val="clear" w:color="auto" w:fill="B9F5DF" w:themeFill="accent6" w:themeFillTint="3F"/>
    </w:tcPr>
    <w:tblStylePr w:type="firstRow">
      <w:rPr>
        <w:b/>
        <w:bCs/>
      </w:rPr>
    </w:tblStylePr>
    <w:tblStylePr w:type="lastRow">
      <w:rPr>
        <w:b/>
        <w:bCs/>
      </w:rPr>
      <w:tblPr/>
      <w:tcPr>
        <w:tcBorders>
          <w:top w:val="single" w:sz="18" w:space="0" w:color="2BE1A0" w:themeColor="accent6" w:themeTint="BF"/>
        </w:tcBorders>
      </w:tcPr>
    </w:tblStylePr>
    <w:tblStylePr w:type="firstCol">
      <w:rPr>
        <w:b/>
        <w:bCs/>
      </w:rPr>
    </w:tblStylePr>
    <w:tblStylePr w:type="lastCol">
      <w:rPr>
        <w:b/>
        <w:bCs/>
      </w:rPr>
    </w:tblStylePr>
    <w:tblStylePr w:type="band1Vert">
      <w:tblPr/>
      <w:tcPr>
        <w:shd w:val="clear" w:color="auto" w:fill="72EBC0" w:themeFill="accent6" w:themeFillTint="7F"/>
      </w:tcPr>
    </w:tblStylePr>
    <w:tblStylePr w:type="band1Horz">
      <w:tblPr/>
      <w:tcPr>
        <w:shd w:val="clear" w:color="auto" w:fill="72EBC0" w:themeFill="accent6" w:themeFillTint="7F"/>
      </w:tcPr>
    </w:tblStylePr>
  </w:style>
  <w:style w:type="table" w:styleId="MediumGrid2">
    <w:name w:val="Medium Grid 2"/>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insideH w:val="single" w:sz="8" w:space="0" w:color="0B2949" w:themeColor="accent1"/>
        <w:insideV w:val="single" w:sz="8" w:space="0" w:color="0B2949" w:themeColor="accent1"/>
      </w:tblBorders>
    </w:tblPr>
    <w:tcPr>
      <w:shd w:val="clear" w:color="auto" w:fill="A3C8F1" w:themeFill="accent1" w:themeFillTint="3F"/>
    </w:tcPr>
    <w:tblStylePr w:type="firstRow">
      <w:rPr>
        <w:b/>
        <w:bCs/>
        <w:color w:val="000000" w:themeColor="text1"/>
      </w:rPr>
      <w:tblPr/>
      <w:tcPr>
        <w:shd w:val="clear" w:color="auto" w:fill="DAE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D3F3" w:themeFill="accent1" w:themeFillTint="33"/>
      </w:tcPr>
    </w:tblStylePr>
    <w:tblStylePr w:type="band1Vert">
      <w:tblPr/>
      <w:tcPr>
        <w:shd w:val="clear" w:color="auto" w:fill="4692E3" w:themeFill="accent1" w:themeFillTint="7F"/>
      </w:tcPr>
    </w:tblStylePr>
    <w:tblStylePr w:type="band1Horz">
      <w:tblPr/>
      <w:tcPr>
        <w:tcBorders>
          <w:insideH w:val="single" w:sz="6" w:space="0" w:color="0B2949" w:themeColor="accent1"/>
          <w:insideV w:val="single" w:sz="6" w:space="0" w:color="0B2949" w:themeColor="accent1"/>
        </w:tcBorders>
        <w:shd w:val="clear" w:color="auto" w:fill="4692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insideH w:val="single" w:sz="8" w:space="0" w:color="D02B27" w:themeColor="accent2"/>
        <w:insideV w:val="single" w:sz="8" w:space="0" w:color="D02B27" w:themeColor="accent2"/>
      </w:tblBorders>
    </w:tblPr>
    <w:tcPr>
      <w:shd w:val="clear" w:color="auto" w:fill="F4C9C8" w:themeFill="accent2" w:themeFillTint="3F"/>
    </w:tcPr>
    <w:tblStylePr w:type="firstRow">
      <w:rPr>
        <w:b/>
        <w:bCs/>
        <w:color w:val="000000" w:themeColor="text1"/>
      </w:rPr>
      <w:tblPr/>
      <w:tcPr>
        <w:shd w:val="clear" w:color="auto" w:fill="FB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3D2" w:themeFill="accent2" w:themeFillTint="33"/>
      </w:tcPr>
    </w:tblStylePr>
    <w:tblStylePr w:type="band1Vert">
      <w:tblPr/>
      <w:tcPr>
        <w:shd w:val="clear" w:color="auto" w:fill="EA9290" w:themeFill="accent2" w:themeFillTint="7F"/>
      </w:tcPr>
    </w:tblStylePr>
    <w:tblStylePr w:type="band1Horz">
      <w:tblPr/>
      <w:tcPr>
        <w:tcBorders>
          <w:insideH w:val="single" w:sz="6" w:space="0" w:color="D02B27" w:themeColor="accent2"/>
          <w:insideV w:val="single" w:sz="6" w:space="0" w:color="D02B27" w:themeColor="accent2"/>
        </w:tcBorders>
        <w:shd w:val="clear" w:color="auto" w:fill="EA929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insideH w:val="single" w:sz="8" w:space="0" w:color="5B6771" w:themeColor="accent3"/>
        <w:insideV w:val="single" w:sz="8" w:space="0" w:color="5B6771" w:themeColor="accent3"/>
      </w:tblBorders>
    </w:tblPr>
    <w:tcPr>
      <w:shd w:val="clear" w:color="auto" w:fill="D5D9DD" w:themeFill="accent3" w:themeFillTint="3F"/>
    </w:tcPr>
    <w:tblStylePr w:type="firstRow">
      <w:rPr>
        <w:b/>
        <w:bCs/>
        <w:color w:val="000000" w:themeColor="text1"/>
      </w:rPr>
      <w:tblPr/>
      <w:tcPr>
        <w:shd w:val="clear" w:color="auto" w:fill="EEF0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0E3" w:themeFill="accent3" w:themeFillTint="33"/>
      </w:tcPr>
    </w:tblStylePr>
    <w:tblStylePr w:type="band1Vert">
      <w:tblPr/>
      <w:tcPr>
        <w:shd w:val="clear" w:color="auto" w:fill="AAB3BB" w:themeFill="accent3" w:themeFillTint="7F"/>
      </w:tcPr>
    </w:tblStylePr>
    <w:tblStylePr w:type="band1Horz">
      <w:tblPr/>
      <w:tcPr>
        <w:tcBorders>
          <w:insideH w:val="single" w:sz="6" w:space="0" w:color="5B6771" w:themeColor="accent3"/>
          <w:insideV w:val="single" w:sz="6" w:space="0" w:color="5B6771" w:themeColor="accent3"/>
        </w:tcBorders>
        <w:shd w:val="clear" w:color="auto" w:fill="AAB3B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insideH w:val="single" w:sz="8" w:space="0" w:color="F1B51C" w:themeColor="accent4"/>
        <w:insideV w:val="single" w:sz="8" w:space="0" w:color="F1B51C" w:themeColor="accent4"/>
      </w:tblBorders>
    </w:tblPr>
    <w:tcPr>
      <w:shd w:val="clear" w:color="auto" w:fill="FBECC6" w:themeFill="accent4" w:themeFillTint="3F"/>
    </w:tcPr>
    <w:tblStylePr w:type="firstRow">
      <w:rPr>
        <w:b/>
        <w:bCs/>
        <w:color w:val="000000" w:themeColor="text1"/>
      </w:rPr>
      <w:tblPr/>
      <w:tcPr>
        <w:shd w:val="clear" w:color="auto" w:fill="FDF7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0D1" w:themeFill="accent4" w:themeFillTint="33"/>
      </w:tcPr>
    </w:tblStylePr>
    <w:tblStylePr w:type="band1Vert">
      <w:tblPr/>
      <w:tcPr>
        <w:shd w:val="clear" w:color="auto" w:fill="F8DA8D" w:themeFill="accent4" w:themeFillTint="7F"/>
      </w:tcPr>
    </w:tblStylePr>
    <w:tblStylePr w:type="band1Horz">
      <w:tblPr/>
      <w:tcPr>
        <w:tcBorders>
          <w:insideH w:val="single" w:sz="6" w:space="0" w:color="F1B51C" w:themeColor="accent4"/>
          <w:insideV w:val="single" w:sz="6" w:space="0" w:color="F1B51C" w:themeColor="accent4"/>
        </w:tcBorders>
        <w:shd w:val="clear" w:color="auto" w:fill="F8DA8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insideH w:val="single" w:sz="8" w:space="0" w:color="189394" w:themeColor="accent5"/>
        <w:insideV w:val="single" w:sz="8" w:space="0" w:color="189394" w:themeColor="accent5"/>
      </w:tblBorders>
    </w:tblPr>
    <w:tcPr>
      <w:shd w:val="clear" w:color="auto" w:fill="B7F2F3" w:themeFill="accent5" w:themeFillTint="3F"/>
    </w:tcPr>
    <w:tblStylePr w:type="firstRow">
      <w:rPr>
        <w:b/>
        <w:bCs/>
        <w:color w:val="000000" w:themeColor="text1"/>
      </w:rPr>
      <w:tblPr/>
      <w:tcPr>
        <w:shd w:val="clear" w:color="auto" w:fill="E2FA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F5F5" w:themeFill="accent5" w:themeFillTint="33"/>
      </w:tcPr>
    </w:tblStylePr>
    <w:tblStylePr w:type="band1Vert">
      <w:tblPr/>
      <w:tcPr>
        <w:shd w:val="clear" w:color="auto" w:fill="6DE6E7" w:themeFill="accent5" w:themeFillTint="7F"/>
      </w:tcPr>
    </w:tblStylePr>
    <w:tblStylePr w:type="band1Horz">
      <w:tblPr/>
      <w:tcPr>
        <w:tcBorders>
          <w:insideH w:val="single" w:sz="6" w:space="0" w:color="189394" w:themeColor="accent5"/>
          <w:insideV w:val="single" w:sz="6" w:space="0" w:color="189394" w:themeColor="accent5"/>
        </w:tcBorders>
        <w:shd w:val="clear" w:color="auto" w:fill="6DE6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insideH w:val="single" w:sz="8" w:space="0" w:color="17A673" w:themeColor="accent6"/>
        <w:insideV w:val="single" w:sz="8" w:space="0" w:color="17A673" w:themeColor="accent6"/>
      </w:tblBorders>
    </w:tblPr>
    <w:tcPr>
      <w:shd w:val="clear" w:color="auto" w:fill="B9F5DF" w:themeFill="accent6" w:themeFillTint="3F"/>
    </w:tcPr>
    <w:tblStylePr w:type="firstRow">
      <w:rPr>
        <w:b/>
        <w:bCs/>
        <w:color w:val="000000" w:themeColor="text1"/>
      </w:rPr>
      <w:tblPr/>
      <w:tcPr>
        <w:shd w:val="clear" w:color="auto" w:fill="E3FB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7E5" w:themeFill="accent6" w:themeFillTint="33"/>
      </w:tcPr>
    </w:tblStylePr>
    <w:tblStylePr w:type="band1Vert">
      <w:tblPr/>
      <w:tcPr>
        <w:shd w:val="clear" w:color="auto" w:fill="72EBC0" w:themeFill="accent6" w:themeFillTint="7F"/>
      </w:tcPr>
    </w:tblStylePr>
    <w:tblStylePr w:type="band1Horz">
      <w:tblPr/>
      <w:tcPr>
        <w:tcBorders>
          <w:insideH w:val="single" w:sz="6" w:space="0" w:color="17A673" w:themeColor="accent6"/>
          <w:insideV w:val="single" w:sz="6" w:space="0" w:color="17A673" w:themeColor="accent6"/>
        </w:tcBorders>
        <w:shd w:val="clear" w:color="auto" w:fill="72EBC0" w:themeFill="accent6" w:themeFillTint="7F"/>
      </w:tcPr>
    </w:tblStylePr>
    <w:tblStylePr w:type="nwCell">
      <w:tblPr/>
      <w:tcPr>
        <w:shd w:val="clear" w:color="auto" w:fill="FFFFFF" w:themeFill="background1"/>
      </w:tcPr>
    </w:tblStylePr>
  </w:style>
  <w:style w:type="table" w:styleId="MediumGrid3">
    <w:name w:val="Medium Grid 3"/>
    <w:basedOn w:val="TableNormal"/>
    <w:unhideWhenUsed/>
    <w:rsid w:val="00B36B4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nhideWhenUsed/>
    <w:rsid w:val="00B36B4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8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294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294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294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294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2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2E3" w:themeFill="accent1" w:themeFillTint="7F"/>
      </w:tcPr>
    </w:tblStylePr>
  </w:style>
  <w:style w:type="table" w:styleId="MediumGrid3-Accent2">
    <w:name w:val="Medium Grid 3 Accent 2"/>
    <w:basedOn w:val="TableNormal"/>
    <w:unhideWhenUsed/>
    <w:rsid w:val="00B36B4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C9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B2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B2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B2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B2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92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9290" w:themeFill="accent2" w:themeFillTint="7F"/>
      </w:tcPr>
    </w:tblStylePr>
  </w:style>
  <w:style w:type="table" w:styleId="MediumGrid3-Accent3">
    <w:name w:val="Medium Grid 3 Accent 3"/>
    <w:basedOn w:val="TableNormal"/>
    <w:unhideWhenUsed/>
    <w:rsid w:val="00B36B4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9D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677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677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677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677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B3B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B3BB" w:themeFill="accent3" w:themeFillTint="7F"/>
      </w:tcPr>
    </w:tblStylePr>
  </w:style>
  <w:style w:type="table" w:styleId="MediumGrid3-Accent4">
    <w:name w:val="Medium Grid 3 Accent 4"/>
    <w:basedOn w:val="TableNormal"/>
    <w:unhideWhenUsed/>
    <w:rsid w:val="00B36B4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CC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B51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B51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B51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B51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A8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A8D" w:themeFill="accent4" w:themeFillTint="7F"/>
      </w:tcPr>
    </w:tblStylePr>
  </w:style>
  <w:style w:type="table" w:styleId="MediumGrid3-Accent5">
    <w:name w:val="Medium Grid 3 Accent 5"/>
    <w:basedOn w:val="TableNormal"/>
    <w:unhideWhenUsed/>
    <w:rsid w:val="00B36B4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F2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939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939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939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939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E6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E6E7" w:themeFill="accent5" w:themeFillTint="7F"/>
      </w:tcPr>
    </w:tblStylePr>
  </w:style>
  <w:style w:type="table" w:styleId="MediumGrid3-Accent6">
    <w:name w:val="Medium Grid 3 Accent 6"/>
    <w:basedOn w:val="TableNormal"/>
    <w:unhideWhenUsed/>
    <w:rsid w:val="00B36B4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5D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6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6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6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6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EBC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EBC0" w:themeFill="accent6" w:themeFillTint="7F"/>
      </w:tcPr>
    </w:tblStylePr>
  </w:style>
  <w:style w:type="table" w:styleId="MediumList1">
    <w:name w:val="Medium List 1"/>
    <w:basedOn w:val="TableNormal"/>
    <w:unhideWhenUsed/>
    <w:rsid w:val="00B36B4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46B5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nhideWhenUsed/>
    <w:rsid w:val="00B36B45"/>
    <w:pPr>
      <w:spacing w:after="0" w:line="240" w:lineRule="auto"/>
    </w:pPr>
    <w:rPr>
      <w:color w:val="000000" w:themeColor="text1"/>
    </w:rPr>
    <w:tblPr>
      <w:tblStyleRowBandSize w:val="1"/>
      <w:tblStyleColBandSize w:val="1"/>
      <w:tblBorders>
        <w:top w:val="single" w:sz="8" w:space="0" w:color="0B2949" w:themeColor="accent1"/>
        <w:bottom w:val="single" w:sz="8" w:space="0" w:color="0B2949" w:themeColor="accent1"/>
      </w:tblBorders>
    </w:tblPr>
    <w:tblStylePr w:type="firstRow">
      <w:rPr>
        <w:rFonts w:asciiTheme="majorHAnsi" w:eastAsiaTheme="majorEastAsia" w:hAnsiTheme="majorHAnsi" w:cstheme="majorBidi"/>
      </w:rPr>
      <w:tblPr/>
      <w:tcPr>
        <w:tcBorders>
          <w:top w:val="nil"/>
          <w:bottom w:val="single" w:sz="8" w:space="0" w:color="0B2949" w:themeColor="accent1"/>
        </w:tcBorders>
      </w:tcPr>
    </w:tblStylePr>
    <w:tblStylePr w:type="lastRow">
      <w:rPr>
        <w:b/>
        <w:bCs/>
        <w:color w:val="046B5C" w:themeColor="text2"/>
      </w:rPr>
      <w:tblPr/>
      <w:tcPr>
        <w:tcBorders>
          <w:top w:val="single" w:sz="8" w:space="0" w:color="0B2949" w:themeColor="accent1"/>
          <w:bottom w:val="single" w:sz="8" w:space="0" w:color="0B2949" w:themeColor="accent1"/>
        </w:tcBorders>
      </w:tcPr>
    </w:tblStylePr>
    <w:tblStylePr w:type="firstCol">
      <w:rPr>
        <w:b/>
        <w:bCs/>
      </w:rPr>
    </w:tblStylePr>
    <w:tblStylePr w:type="lastCol">
      <w:rPr>
        <w:b/>
        <w:bCs/>
      </w:rPr>
      <w:tblPr/>
      <w:tcPr>
        <w:tcBorders>
          <w:top w:val="single" w:sz="8" w:space="0" w:color="0B2949" w:themeColor="accent1"/>
          <w:bottom w:val="single" w:sz="8" w:space="0" w:color="0B2949" w:themeColor="accent1"/>
        </w:tcBorders>
      </w:tcPr>
    </w:tblStylePr>
    <w:tblStylePr w:type="band1Vert">
      <w:tblPr/>
      <w:tcPr>
        <w:shd w:val="clear" w:color="auto" w:fill="A3C8F1" w:themeFill="accent1" w:themeFillTint="3F"/>
      </w:tcPr>
    </w:tblStylePr>
    <w:tblStylePr w:type="band1Horz">
      <w:tblPr/>
      <w:tcPr>
        <w:shd w:val="clear" w:color="auto" w:fill="A3C8F1" w:themeFill="accent1" w:themeFillTint="3F"/>
      </w:tcPr>
    </w:tblStylePr>
  </w:style>
  <w:style w:type="table" w:styleId="MediumList1-Accent2">
    <w:name w:val="Medium List 1 Accent 2"/>
    <w:basedOn w:val="TableNormal"/>
    <w:unhideWhenUsed/>
    <w:rsid w:val="00B36B45"/>
    <w:pPr>
      <w:spacing w:after="0" w:line="240" w:lineRule="auto"/>
    </w:pPr>
    <w:rPr>
      <w:color w:val="000000" w:themeColor="text1"/>
    </w:rPr>
    <w:tblPr>
      <w:tblStyleRowBandSize w:val="1"/>
      <w:tblStyleColBandSize w:val="1"/>
      <w:tblBorders>
        <w:top w:val="single" w:sz="8" w:space="0" w:color="D02B27" w:themeColor="accent2"/>
        <w:bottom w:val="single" w:sz="8" w:space="0" w:color="D02B27" w:themeColor="accent2"/>
      </w:tblBorders>
    </w:tblPr>
    <w:tblStylePr w:type="firstRow">
      <w:rPr>
        <w:rFonts w:asciiTheme="majorHAnsi" w:eastAsiaTheme="majorEastAsia" w:hAnsiTheme="majorHAnsi" w:cstheme="majorBidi"/>
      </w:rPr>
      <w:tblPr/>
      <w:tcPr>
        <w:tcBorders>
          <w:top w:val="nil"/>
          <w:bottom w:val="single" w:sz="8" w:space="0" w:color="D02B27" w:themeColor="accent2"/>
        </w:tcBorders>
      </w:tcPr>
    </w:tblStylePr>
    <w:tblStylePr w:type="lastRow">
      <w:rPr>
        <w:b/>
        <w:bCs/>
        <w:color w:val="046B5C" w:themeColor="text2"/>
      </w:rPr>
      <w:tblPr/>
      <w:tcPr>
        <w:tcBorders>
          <w:top w:val="single" w:sz="8" w:space="0" w:color="D02B27" w:themeColor="accent2"/>
          <w:bottom w:val="single" w:sz="8" w:space="0" w:color="D02B27" w:themeColor="accent2"/>
        </w:tcBorders>
      </w:tcPr>
    </w:tblStylePr>
    <w:tblStylePr w:type="firstCol">
      <w:rPr>
        <w:b/>
        <w:bCs/>
      </w:rPr>
    </w:tblStylePr>
    <w:tblStylePr w:type="lastCol">
      <w:rPr>
        <w:b/>
        <w:bCs/>
      </w:rPr>
      <w:tblPr/>
      <w:tcPr>
        <w:tcBorders>
          <w:top w:val="single" w:sz="8" w:space="0" w:color="D02B27" w:themeColor="accent2"/>
          <w:bottom w:val="single" w:sz="8" w:space="0" w:color="D02B27" w:themeColor="accent2"/>
        </w:tcBorders>
      </w:tcPr>
    </w:tblStylePr>
    <w:tblStylePr w:type="band1Vert">
      <w:tblPr/>
      <w:tcPr>
        <w:shd w:val="clear" w:color="auto" w:fill="F4C9C8" w:themeFill="accent2" w:themeFillTint="3F"/>
      </w:tcPr>
    </w:tblStylePr>
    <w:tblStylePr w:type="band1Horz">
      <w:tblPr/>
      <w:tcPr>
        <w:shd w:val="clear" w:color="auto" w:fill="F4C9C8" w:themeFill="accent2" w:themeFillTint="3F"/>
      </w:tcPr>
    </w:tblStylePr>
  </w:style>
  <w:style w:type="table" w:styleId="MediumList1-Accent3">
    <w:name w:val="Medium List 1 Accent 3"/>
    <w:basedOn w:val="TableNormal"/>
    <w:unhideWhenUsed/>
    <w:rsid w:val="00B36B45"/>
    <w:pPr>
      <w:spacing w:after="0" w:line="240" w:lineRule="auto"/>
    </w:pPr>
    <w:rPr>
      <w:color w:val="000000" w:themeColor="text1"/>
    </w:rPr>
    <w:tblPr>
      <w:tblStyleRowBandSize w:val="1"/>
      <w:tblStyleColBandSize w:val="1"/>
      <w:tblBorders>
        <w:top w:val="single" w:sz="8" w:space="0" w:color="5B6771" w:themeColor="accent3"/>
        <w:bottom w:val="single" w:sz="8" w:space="0" w:color="5B6771" w:themeColor="accent3"/>
      </w:tblBorders>
    </w:tblPr>
    <w:tblStylePr w:type="firstRow">
      <w:rPr>
        <w:rFonts w:asciiTheme="majorHAnsi" w:eastAsiaTheme="majorEastAsia" w:hAnsiTheme="majorHAnsi" w:cstheme="majorBidi"/>
      </w:rPr>
      <w:tblPr/>
      <w:tcPr>
        <w:tcBorders>
          <w:top w:val="nil"/>
          <w:bottom w:val="single" w:sz="8" w:space="0" w:color="5B6771" w:themeColor="accent3"/>
        </w:tcBorders>
      </w:tcPr>
    </w:tblStylePr>
    <w:tblStylePr w:type="lastRow">
      <w:rPr>
        <w:b/>
        <w:bCs/>
        <w:color w:val="046B5C" w:themeColor="text2"/>
      </w:rPr>
      <w:tblPr/>
      <w:tcPr>
        <w:tcBorders>
          <w:top w:val="single" w:sz="8" w:space="0" w:color="5B6771" w:themeColor="accent3"/>
          <w:bottom w:val="single" w:sz="8" w:space="0" w:color="5B6771" w:themeColor="accent3"/>
        </w:tcBorders>
      </w:tcPr>
    </w:tblStylePr>
    <w:tblStylePr w:type="firstCol">
      <w:rPr>
        <w:b/>
        <w:bCs/>
      </w:rPr>
    </w:tblStylePr>
    <w:tblStylePr w:type="lastCol">
      <w:rPr>
        <w:b/>
        <w:bCs/>
      </w:rPr>
      <w:tblPr/>
      <w:tcPr>
        <w:tcBorders>
          <w:top w:val="single" w:sz="8" w:space="0" w:color="5B6771" w:themeColor="accent3"/>
          <w:bottom w:val="single" w:sz="8" w:space="0" w:color="5B6771" w:themeColor="accent3"/>
        </w:tcBorders>
      </w:tcPr>
    </w:tblStylePr>
    <w:tblStylePr w:type="band1Vert">
      <w:tblPr/>
      <w:tcPr>
        <w:shd w:val="clear" w:color="auto" w:fill="D5D9DD" w:themeFill="accent3" w:themeFillTint="3F"/>
      </w:tcPr>
    </w:tblStylePr>
    <w:tblStylePr w:type="band1Horz">
      <w:tblPr/>
      <w:tcPr>
        <w:shd w:val="clear" w:color="auto" w:fill="D5D9DD" w:themeFill="accent3" w:themeFillTint="3F"/>
      </w:tcPr>
    </w:tblStylePr>
  </w:style>
  <w:style w:type="table" w:styleId="MediumList1-Accent4">
    <w:name w:val="Medium List 1 Accent 4"/>
    <w:basedOn w:val="TableNormal"/>
    <w:unhideWhenUsed/>
    <w:rsid w:val="00B36B45"/>
    <w:pPr>
      <w:spacing w:after="0" w:line="240" w:lineRule="auto"/>
    </w:pPr>
    <w:rPr>
      <w:color w:val="000000" w:themeColor="text1"/>
    </w:rPr>
    <w:tblPr>
      <w:tblStyleRowBandSize w:val="1"/>
      <w:tblStyleColBandSize w:val="1"/>
      <w:tblBorders>
        <w:top w:val="single" w:sz="8" w:space="0" w:color="F1B51C" w:themeColor="accent4"/>
        <w:bottom w:val="single" w:sz="8" w:space="0" w:color="F1B51C" w:themeColor="accent4"/>
      </w:tblBorders>
    </w:tblPr>
    <w:tblStylePr w:type="firstRow">
      <w:rPr>
        <w:rFonts w:asciiTheme="majorHAnsi" w:eastAsiaTheme="majorEastAsia" w:hAnsiTheme="majorHAnsi" w:cstheme="majorBidi"/>
      </w:rPr>
      <w:tblPr/>
      <w:tcPr>
        <w:tcBorders>
          <w:top w:val="nil"/>
          <w:bottom w:val="single" w:sz="8" w:space="0" w:color="F1B51C" w:themeColor="accent4"/>
        </w:tcBorders>
      </w:tcPr>
    </w:tblStylePr>
    <w:tblStylePr w:type="lastRow">
      <w:rPr>
        <w:b/>
        <w:bCs/>
        <w:color w:val="046B5C" w:themeColor="text2"/>
      </w:rPr>
      <w:tblPr/>
      <w:tcPr>
        <w:tcBorders>
          <w:top w:val="single" w:sz="8" w:space="0" w:color="F1B51C" w:themeColor="accent4"/>
          <w:bottom w:val="single" w:sz="8" w:space="0" w:color="F1B51C" w:themeColor="accent4"/>
        </w:tcBorders>
      </w:tcPr>
    </w:tblStylePr>
    <w:tblStylePr w:type="firstCol">
      <w:rPr>
        <w:b/>
        <w:bCs/>
      </w:rPr>
    </w:tblStylePr>
    <w:tblStylePr w:type="lastCol">
      <w:rPr>
        <w:b/>
        <w:bCs/>
      </w:rPr>
      <w:tblPr/>
      <w:tcPr>
        <w:tcBorders>
          <w:top w:val="single" w:sz="8" w:space="0" w:color="F1B51C" w:themeColor="accent4"/>
          <w:bottom w:val="single" w:sz="8" w:space="0" w:color="F1B51C" w:themeColor="accent4"/>
        </w:tcBorders>
      </w:tcPr>
    </w:tblStylePr>
    <w:tblStylePr w:type="band1Vert">
      <w:tblPr/>
      <w:tcPr>
        <w:shd w:val="clear" w:color="auto" w:fill="FBECC6" w:themeFill="accent4" w:themeFillTint="3F"/>
      </w:tcPr>
    </w:tblStylePr>
    <w:tblStylePr w:type="band1Horz">
      <w:tblPr/>
      <w:tcPr>
        <w:shd w:val="clear" w:color="auto" w:fill="FBECC6" w:themeFill="accent4" w:themeFillTint="3F"/>
      </w:tcPr>
    </w:tblStylePr>
  </w:style>
  <w:style w:type="table" w:styleId="MediumList1-Accent5">
    <w:name w:val="Medium List 1 Accent 5"/>
    <w:basedOn w:val="TableNormal"/>
    <w:unhideWhenUsed/>
    <w:rsid w:val="00B36B45"/>
    <w:pPr>
      <w:spacing w:after="0" w:line="240" w:lineRule="auto"/>
    </w:pPr>
    <w:rPr>
      <w:color w:val="000000" w:themeColor="text1"/>
    </w:rPr>
    <w:tblPr>
      <w:tblStyleRowBandSize w:val="1"/>
      <w:tblStyleColBandSize w:val="1"/>
      <w:tblBorders>
        <w:top w:val="single" w:sz="8" w:space="0" w:color="189394" w:themeColor="accent5"/>
        <w:bottom w:val="single" w:sz="8" w:space="0" w:color="189394" w:themeColor="accent5"/>
      </w:tblBorders>
    </w:tblPr>
    <w:tblStylePr w:type="firstRow">
      <w:rPr>
        <w:rFonts w:asciiTheme="majorHAnsi" w:eastAsiaTheme="majorEastAsia" w:hAnsiTheme="majorHAnsi" w:cstheme="majorBidi"/>
      </w:rPr>
      <w:tblPr/>
      <w:tcPr>
        <w:tcBorders>
          <w:top w:val="nil"/>
          <w:bottom w:val="single" w:sz="8" w:space="0" w:color="189394" w:themeColor="accent5"/>
        </w:tcBorders>
      </w:tcPr>
    </w:tblStylePr>
    <w:tblStylePr w:type="lastRow">
      <w:rPr>
        <w:b/>
        <w:bCs/>
        <w:color w:val="046B5C" w:themeColor="text2"/>
      </w:rPr>
      <w:tblPr/>
      <w:tcPr>
        <w:tcBorders>
          <w:top w:val="single" w:sz="8" w:space="0" w:color="189394" w:themeColor="accent5"/>
          <w:bottom w:val="single" w:sz="8" w:space="0" w:color="189394" w:themeColor="accent5"/>
        </w:tcBorders>
      </w:tcPr>
    </w:tblStylePr>
    <w:tblStylePr w:type="firstCol">
      <w:rPr>
        <w:b/>
        <w:bCs/>
      </w:rPr>
    </w:tblStylePr>
    <w:tblStylePr w:type="lastCol">
      <w:rPr>
        <w:b/>
        <w:bCs/>
      </w:rPr>
      <w:tblPr/>
      <w:tcPr>
        <w:tcBorders>
          <w:top w:val="single" w:sz="8" w:space="0" w:color="189394" w:themeColor="accent5"/>
          <w:bottom w:val="single" w:sz="8" w:space="0" w:color="189394" w:themeColor="accent5"/>
        </w:tcBorders>
      </w:tcPr>
    </w:tblStylePr>
    <w:tblStylePr w:type="band1Vert">
      <w:tblPr/>
      <w:tcPr>
        <w:shd w:val="clear" w:color="auto" w:fill="B7F2F3" w:themeFill="accent5" w:themeFillTint="3F"/>
      </w:tcPr>
    </w:tblStylePr>
    <w:tblStylePr w:type="band1Horz">
      <w:tblPr/>
      <w:tcPr>
        <w:shd w:val="clear" w:color="auto" w:fill="B7F2F3" w:themeFill="accent5" w:themeFillTint="3F"/>
      </w:tcPr>
    </w:tblStylePr>
  </w:style>
  <w:style w:type="table" w:styleId="MediumList1-Accent6">
    <w:name w:val="Medium List 1 Accent 6"/>
    <w:basedOn w:val="TableNormal"/>
    <w:unhideWhenUsed/>
    <w:rsid w:val="00B36B45"/>
    <w:pPr>
      <w:spacing w:after="0" w:line="240" w:lineRule="auto"/>
    </w:pPr>
    <w:rPr>
      <w:color w:val="000000" w:themeColor="text1"/>
    </w:rPr>
    <w:tblPr>
      <w:tblStyleRowBandSize w:val="1"/>
      <w:tblStyleColBandSize w:val="1"/>
      <w:tblBorders>
        <w:top w:val="single" w:sz="8" w:space="0" w:color="17A673" w:themeColor="accent6"/>
        <w:bottom w:val="single" w:sz="8" w:space="0" w:color="17A673" w:themeColor="accent6"/>
      </w:tblBorders>
    </w:tblPr>
    <w:tblStylePr w:type="firstRow">
      <w:rPr>
        <w:rFonts w:asciiTheme="majorHAnsi" w:eastAsiaTheme="majorEastAsia" w:hAnsiTheme="majorHAnsi" w:cstheme="majorBidi"/>
      </w:rPr>
      <w:tblPr/>
      <w:tcPr>
        <w:tcBorders>
          <w:top w:val="nil"/>
          <w:bottom w:val="single" w:sz="8" w:space="0" w:color="17A673" w:themeColor="accent6"/>
        </w:tcBorders>
      </w:tcPr>
    </w:tblStylePr>
    <w:tblStylePr w:type="lastRow">
      <w:rPr>
        <w:b/>
        <w:bCs/>
        <w:color w:val="046B5C" w:themeColor="text2"/>
      </w:rPr>
      <w:tblPr/>
      <w:tcPr>
        <w:tcBorders>
          <w:top w:val="single" w:sz="8" w:space="0" w:color="17A673" w:themeColor="accent6"/>
          <w:bottom w:val="single" w:sz="8" w:space="0" w:color="17A673" w:themeColor="accent6"/>
        </w:tcBorders>
      </w:tcPr>
    </w:tblStylePr>
    <w:tblStylePr w:type="firstCol">
      <w:rPr>
        <w:b/>
        <w:bCs/>
      </w:rPr>
    </w:tblStylePr>
    <w:tblStylePr w:type="lastCol">
      <w:rPr>
        <w:b/>
        <w:bCs/>
      </w:rPr>
      <w:tblPr/>
      <w:tcPr>
        <w:tcBorders>
          <w:top w:val="single" w:sz="8" w:space="0" w:color="17A673" w:themeColor="accent6"/>
          <w:bottom w:val="single" w:sz="8" w:space="0" w:color="17A673" w:themeColor="accent6"/>
        </w:tcBorders>
      </w:tcPr>
    </w:tblStylePr>
    <w:tblStylePr w:type="band1Vert">
      <w:tblPr/>
      <w:tcPr>
        <w:shd w:val="clear" w:color="auto" w:fill="B9F5DF" w:themeFill="accent6" w:themeFillTint="3F"/>
      </w:tcPr>
    </w:tblStylePr>
    <w:tblStylePr w:type="band1Horz">
      <w:tblPr/>
      <w:tcPr>
        <w:shd w:val="clear" w:color="auto" w:fill="B9F5DF" w:themeFill="accent6" w:themeFillTint="3F"/>
      </w:tcPr>
    </w:tblStylePr>
  </w:style>
  <w:style w:type="table" w:styleId="MediumList2">
    <w:name w:val="Medium List 2"/>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tblBorders>
    </w:tblPr>
    <w:tblStylePr w:type="firstRow">
      <w:rPr>
        <w:sz w:val="24"/>
        <w:szCs w:val="24"/>
      </w:rPr>
      <w:tblPr/>
      <w:tcPr>
        <w:tcBorders>
          <w:top w:val="nil"/>
          <w:left w:val="nil"/>
          <w:bottom w:val="single" w:sz="24" w:space="0" w:color="0B294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B2949" w:themeColor="accent1"/>
          <w:insideH w:val="nil"/>
          <w:insideV w:val="nil"/>
        </w:tcBorders>
        <w:shd w:val="clear" w:color="auto" w:fill="FFFFFF" w:themeFill="background1"/>
      </w:tcPr>
    </w:tblStylePr>
    <w:tblStylePr w:type="lastCol">
      <w:tblPr/>
      <w:tcPr>
        <w:tcBorders>
          <w:top w:val="nil"/>
          <w:left w:val="single" w:sz="8" w:space="0" w:color="0B294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8F1" w:themeFill="accent1" w:themeFillTint="3F"/>
      </w:tcPr>
    </w:tblStylePr>
    <w:tblStylePr w:type="band1Horz">
      <w:tblPr/>
      <w:tcPr>
        <w:tcBorders>
          <w:top w:val="nil"/>
          <w:bottom w:val="nil"/>
          <w:insideH w:val="nil"/>
          <w:insideV w:val="nil"/>
        </w:tcBorders>
        <w:shd w:val="clear" w:color="auto" w:fill="A3C8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tblBorders>
    </w:tblPr>
    <w:tblStylePr w:type="firstRow">
      <w:rPr>
        <w:sz w:val="24"/>
        <w:szCs w:val="24"/>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B27" w:themeColor="accent2"/>
          <w:insideH w:val="nil"/>
          <w:insideV w:val="nil"/>
        </w:tcBorders>
        <w:shd w:val="clear" w:color="auto" w:fill="FFFFFF" w:themeFill="background1"/>
      </w:tcPr>
    </w:tblStylePr>
    <w:tblStylePr w:type="lastCol">
      <w:tblPr/>
      <w:tcPr>
        <w:tcBorders>
          <w:top w:val="nil"/>
          <w:left w:val="single" w:sz="8" w:space="0" w:color="D02B2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C9C8" w:themeFill="accent2" w:themeFillTint="3F"/>
      </w:tcPr>
    </w:tblStylePr>
    <w:tblStylePr w:type="band1Horz">
      <w:tblPr/>
      <w:tcPr>
        <w:tcBorders>
          <w:top w:val="nil"/>
          <w:bottom w:val="nil"/>
          <w:insideH w:val="nil"/>
          <w:insideV w:val="nil"/>
        </w:tcBorders>
        <w:shd w:val="clear" w:color="auto" w:fill="F4C9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tblBorders>
    </w:tblPr>
    <w:tblStylePr w:type="firstRow">
      <w:rPr>
        <w:sz w:val="24"/>
        <w:szCs w:val="24"/>
      </w:rPr>
      <w:tblPr/>
      <w:tcPr>
        <w:tcBorders>
          <w:top w:val="nil"/>
          <w:left w:val="nil"/>
          <w:bottom w:val="single" w:sz="24" w:space="0" w:color="5B677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6771" w:themeColor="accent3"/>
          <w:insideH w:val="nil"/>
          <w:insideV w:val="nil"/>
        </w:tcBorders>
        <w:shd w:val="clear" w:color="auto" w:fill="FFFFFF" w:themeFill="background1"/>
      </w:tcPr>
    </w:tblStylePr>
    <w:tblStylePr w:type="lastCol">
      <w:tblPr/>
      <w:tcPr>
        <w:tcBorders>
          <w:top w:val="nil"/>
          <w:left w:val="single" w:sz="8" w:space="0" w:color="5B677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top w:val="nil"/>
          <w:bottom w:val="nil"/>
          <w:insideH w:val="nil"/>
          <w:insideV w:val="nil"/>
        </w:tcBorders>
        <w:shd w:val="clear" w:color="auto" w:fill="D5D9D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tblBorders>
    </w:tblPr>
    <w:tblStylePr w:type="firstRow">
      <w:rPr>
        <w:sz w:val="24"/>
        <w:szCs w:val="24"/>
      </w:rPr>
      <w:tblPr/>
      <w:tcPr>
        <w:tcBorders>
          <w:top w:val="nil"/>
          <w:left w:val="nil"/>
          <w:bottom w:val="single" w:sz="24" w:space="0" w:color="F1B51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B51C" w:themeColor="accent4"/>
          <w:insideH w:val="nil"/>
          <w:insideV w:val="nil"/>
        </w:tcBorders>
        <w:shd w:val="clear" w:color="auto" w:fill="FFFFFF" w:themeFill="background1"/>
      </w:tcPr>
    </w:tblStylePr>
    <w:tblStylePr w:type="lastCol">
      <w:tblPr/>
      <w:tcPr>
        <w:tcBorders>
          <w:top w:val="nil"/>
          <w:left w:val="single" w:sz="8" w:space="0" w:color="F1B51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CC6" w:themeFill="accent4" w:themeFillTint="3F"/>
      </w:tcPr>
    </w:tblStylePr>
    <w:tblStylePr w:type="band1Horz">
      <w:tblPr/>
      <w:tcPr>
        <w:tcBorders>
          <w:top w:val="nil"/>
          <w:bottom w:val="nil"/>
          <w:insideH w:val="nil"/>
          <w:insideV w:val="nil"/>
        </w:tcBorders>
        <w:shd w:val="clear" w:color="auto" w:fill="FBECC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tblBorders>
    </w:tblPr>
    <w:tblStylePr w:type="firstRow">
      <w:rPr>
        <w:sz w:val="24"/>
        <w:szCs w:val="24"/>
      </w:rPr>
      <w:tblPr/>
      <w:tcPr>
        <w:tcBorders>
          <w:top w:val="nil"/>
          <w:left w:val="nil"/>
          <w:bottom w:val="single" w:sz="24" w:space="0" w:color="18939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9394" w:themeColor="accent5"/>
          <w:insideH w:val="nil"/>
          <w:insideV w:val="nil"/>
        </w:tcBorders>
        <w:shd w:val="clear" w:color="auto" w:fill="FFFFFF" w:themeFill="background1"/>
      </w:tcPr>
    </w:tblStylePr>
    <w:tblStylePr w:type="lastCol">
      <w:tblPr/>
      <w:tcPr>
        <w:tcBorders>
          <w:top w:val="nil"/>
          <w:left w:val="single" w:sz="8" w:space="0" w:color="18939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F2F3" w:themeFill="accent5" w:themeFillTint="3F"/>
      </w:tcPr>
    </w:tblStylePr>
    <w:tblStylePr w:type="band1Horz">
      <w:tblPr/>
      <w:tcPr>
        <w:tcBorders>
          <w:top w:val="nil"/>
          <w:bottom w:val="nil"/>
          <w:insideH w:val="nil"/>
          <w:insideV w:val="nil"/>
        </w:tcBorders>
        <w:shd w:val="clear" w:color="auto" w:fill="B7F2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tblBorders>
    </w:tblPr>
    <w:tblStylePr w:type="firstRow">
      <w:rPr>
        <w:sz w:val="24"/>
        <w:szCs w:val="24"/>
      </w:rPr>
      <w:tblPr/>
      <w:tcPr>
        <w:tcBorders>
          <w:top w:val="nil"/>
          <w:left w:val="nil"/>
          <w:bottom w:val="single" w:sz="24" w:space="0" w:color="17A6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673" w:themeColor="accent6"/>
          <w:insideH w:val="nil"/>
          <w:insideV w:val="nil"/>
        </w:tcBorders>
        <w:shd w:val="clear" w:color="auto" w:fill="FFFFFF" w:themeFill="background1"/>
      </w:tcPr>
    </w:tblStylePr>
    <w:tblStylePr w:type="lastCol">
      <w:tblPr/>
      <w:tcPr>
        <w:tcBorders>
          <w:top w:val="nil"/>
          <w:left w:val="single" w:sz="8" w:space="0" w:color="17A6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5DF" w:themeFill="accent6" w:themeFillTint="3F"/>
      </w:tcPr>
    </w:tblStylePr>
    <w:tblStylePr w:type="band1Horz">
      <w:tblPr/>
      <w:tcPr>
        <w:tcBorders>
          <w:top w:val="nil"/>
          <w:bottom w:val="nil"/>
          <w:insideH w:val="nil"/>
          <w:insideV w:val="nil"/>
        </w:tcBorders>
        <w:shd w:val="clear" w:color="auto" w:fill="B9F5D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nhideWhenUsed/>
    <w:rsid w:val="00B36B4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nhideWhenUsed/>
    <w:rsid w:val="00B36B45"/>
    <w:pPr>
      <w:spacing w:after="0" w:line="240" w:lineRule="auto"/>
    </w:pPr>
    <w:tblPr>
      <w:tblStyleRowBandSize w:val="1"/>
      <w:tblStyleColBandSize w:val="1"/>
      <w:tbl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single" w:sz="8" w:space="0" w:color="195CA5" w:themeColor="accent1" w:themeTint="BF"/>
      </w:tblBorders>
    </w:tblPr>
    <w:tblStylePr w:type="firstRow">
      <w:pPr>
        <w:spacing w:before="0" w:after="0" w:line="240" w:lineRule="auto"/>
      </w:pPr>
      <w:rPr>
        <w:b/>
        <w:bCs/>
        <w:color w:val="FFFFFF" w:themeColor="background1"/>
      </w:rPr>
      <w:tblPr/>
      <w:tcPr>
        <w:tc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nil"/>
          <w:insideV w:val="nil"/>
        </w:tcBorders>
        <w:shd w:val="clear" w:color="auto" w:fill="0B2949" w:themeFill="accent1"/>
      </w:tcPr>
    </w:tblStylePr>
    <w:tblStylePr w:type="lastRow">
      <w:pPr>
        <w:spacing w:before="0" w:after="0" w:line="240" w:lineRule="auto"/>
      </w:pPr>
      <w:rPr>
        <w:b/>
        <w:bCs/>
      </w:rPr>
      <w:tblPr/>
      <w:tcPr>
        <w:tcBorders>
          <w:top w:val="double" w:sz="6"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8F1" w:themeFill="accent1" w:themeFillTint="3F"/>
      </w:tcPr>
    </w:tblStylePr>
    <w:tblStylePr w:type="band1Horz">
      <w:tblPr/>
      <w:tcPr>
        <w:tcBorders>
          <w:insideH w:val="nil"/>
          <w:insideV w:val="nil"/>
        </w:tcBorders>
        <w:shd w:val="clear" w:color="auto" w:fill="A3C8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nhideWhenUsed/>
    <w:rsid w:val="00B36B45"/>
    <w:pPr>
      <w:spacing w:after="0" w:line="240" w:lineRule="auto"/>
    </w:pPr>
    <w:tblPr>
      <w:tblStyleRowBandSize w:val="1"/>
      <w:tblStyleColBandSize w:val="1"/>
      <w:tbl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single" w:sz="8" w:space="0" w:color="E05C59" w:themeColor="accent2" w:themeTint="BF"/>
      </w:tblBorders>
    </w:tblPr>
    <w:tblStylePr w:type="firstRow">
      <w:pPr>
        <w:spacing w:before="0" w:after="0" w:line="240" w:lineRule="auto"/>
      </w:pPr>
      <w:rPr>
        <w:b/>
        <w:bCs/>
        <w:color w:val="FFFFFF" w:themeColor="background1"/>
      </w:rPr>
      <w:tblPr/>
      <w:tcPr>
        <w:tc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nil"/>
          <w:insideV w:val="nil"/>
        </w:tcBorders>
        <w:shd w:val="clear" w:color="auto" w:fill="D02B27" w:themeFill="accent2"/>
      </w:tcPr>
    </w:tblStylePr>
    <w:tblStylePr w:type="lastRow">
      <w:pPr>
        <w:spacing w:before="0" w:after="0" w:line="240" w:lineRule="auto"/>
      </w:pPr>
      <w:rPr>
        <w:b/>
        <w:bCs/>
      </w:rPr>
      <w:tblPr/>
      <w:tcPr>
        <w:tcBorders>
          <w:top w:val="double" w:sz="6"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C9C8" w:themeFill="accent2" w:themeFillTint="3F"/>
      </w:tcPr>
    </w:tblStylePr>
    <w:tblStylePr w:type="band1Horz">
      <w:tblPr/>
      <w:tcPr>
        <w:tcBorders>
          <w:insideH w:val="nil"/>
          <w:insideV w:val="nil"/>
        </w:tcBorders>
        <w:shd w:val="clear" w:color="auto" w:fill="F4C9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nhideWhenUsed/>
    <w:rsid w:val="00B36B45"/>
    <w:pPr>
      <w:spacing w:after="0" w:line="240" w:lineRule="auto"/>
    </w:pPr>
    <w:tblPr>
      <w:tblStyleRowBandSize w:val="1"/>
      <w:tblStyleColBandSize w:val="1"/>
      <w:tbl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single" w:sz="8" w:space="0" w:color="7F8D98" w:themeColor="accent3" w:themeTint="BF"/>
      </w:tblBorders>
    </w:tblPr>
    <w:tblStylePr w:type="firstRow">
      <w:pPr>
        <w:spacing w:before="0" w:after="0" w:line="240" w:lineRule="auto"/>
      </w:pPr>
      <w:rPr>
        <w:b/>
        <w:bCs/>
        <w:color w:val="FFFFFF" w:themeColor="background1"/>
      </w:rPr>
      <w:tblPr/>
      <w:tcPr>
        <w:tc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nil"/>
          <w:insideV w:val="nil"/>
        </w:tcBorders>
        <w:shd w:val="clear" w:color="auto" w:fill="5B6771" w:themeFill="accent3"/>
      </w:tcPr>
    </w:tblStylePr>
    <w:tblStylePr w:type="lastRow">
      <w:pPr>
        <w:spacing w:before="0" w:after="0" w:line="240" w:lineRule="auto"/>
      </w:pPr>
      <w:rPr>
        <w:b/>
        <w:bCs/>
      </w:rPr>
      <w:tblPr/>
      <w:tcPr>
        <w:tcBorders>
          <w:top w:val="double" w:sz="6"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D9DD" w:themeFill="accent3" w:themeFillTint="3F"/>
      </w:tcPr>
    </w:tblStylePr>
    <w:tblStylePr w:type="band1Horz">
      <w:tblPr/>
      <w:tcPr>
        <w:tcBorders>
          <w:insideH w:val="nil"/>
          <w:insideV w:val="nil"/>
        </w:tcBorders>
        <w:shd w:val="clear" w:color="auto" w:fill="D5D9D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nhideWhenUsed/>
    <w:rsid w:val="00B36B45"/>
    <w:pPr>
      <w:spacing w:after="0" w:line="240" w:lineRule="auto"/>
    </w:pPr>
    <w:tblPr>
      <w:tblStyleRowBandSize w:val="1"/>
      <w:tblStyleColBandSize w:val="1"/>
      <w:tbl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single" w:sz="8" w:space="0" w:color="F4C754" w:themeColor="accent4" w:themeTint="BF"/>
      </w:tblBorders>
    </w:tblPr>
    <w:tblStylePr w:type="firstRow">
      <w:pPr>
        <w:spacing w:before="0" w:after="0" w:line="240" w:lineRule="auto"/>
      </w:pPr>
      <w:rPr>
        <w:b/>
        <w:bCs/>
        <w:color w:val="FFFFFF" w:themeColor="background1"/>
      </w:rPr>
      <w:tblPr/>
      <w:tcPr>
        <w:tc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nil"/>
          <w:insideV w:val="nil"/>
        </w:tcBorders>
        <w:shd w:val="clear" w:color="auto" w:fill="F1B51C" w:themeFill="accent4"/>
      </w:tcPr>
    </w:tblStylePr>
    <w:tblStylePr w:type="lastRow">
      <w:pPr>
        <w:spacing w:before="0" w:after="0" w:line="240" w:lineRule="auto"/>
      </w:pPr>
      <w:rPr>
        <w:b/>
        <w:bCs/>
      </w:rPr>
      <w:tblPr/>
      <w:tcPr>
        <w:tcBorders>
          <w:top w:val="double" w:sz="6"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CC6" w:themeFill="accent4" w:themeFillTint="3F"/>
      </w:tcPr>
    </w:tblStylePr>
    <w:tblStylePr w:type="band1Horz">
      <w:tblPr/>
      <w:tcPr>
        <w:tcBorders>
          <w:insideH w:val="nil"/>
          <w:insideV w:val="nil"/>
        </w:tcBorders>
        <w:shd w:val="clear" w:color="auto" w:fill="FBECC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nhideWhenUsed/>
    <w:rsid w:val="00B36B45"/>
    <w:pPr>
      <w:spacing w:after="0" w:line="240" w:lineRule="auto"/>
    </w:pPr>
    <w:tblPr>
      <w:tblStyleRowBandSize w:val="1"/>
      <w:tblStyleColBandSize w:val="1"/>
      <w:tbl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single" w:sz="8" w:space="0" w:color="25D9DB" w:themeColor="accent5" w:themeTint="BF"/>
      </w:tblBorders>
    </w:tblPr>
    <w:tblStylePr w:type="firstRow">
      <w:pPr>
        <w:spacing w:before="0" w:after="0" w:line="240" w:lineRule="auto"/>
      </w:pPr>
      <w:rPr>
        <w:b/>
        <w:bCs/>
        <w:color w:val="FFFFFF" w:themeColor="background1"/>
      </w:rPr>
      <w:tblPr/>
      <w:tcPr>
        <w:tc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nil"/>
          <w:insideV w:val="nil"/>
        </w:tcBorders>
        <w:shd w:val="clear" w:color="auto" w:fill="189394" w:themeFill="accent5"/>
      </w:tcPr>
    </w:tblStylePr>
    <w:tblStylePr w:type="lastRow">
      <w:pPr>
        <w:spacing w:before="0" w:after="0" w:line="240" w:lineRule="auto"/>
      </w:pPr>
      <w:rPr>
        <w:b/>
        <w:bCs/>
      </w:rPr>
      <w:tblPr/>
      <w:tcPr>
        <w:tcBorders>
          <w:top w:val="double" w:sz="6"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F2F3" w:themeFill="accent5" w:themeFillTint="3F"/>
      </w:tcPr>
    </w:tblStylePr>
    <w:tblStylePr w:type="band1Horz">
      <w:tblPr/>
      <w:tcPr>
        <w:tcBorders>
          <w:insideH w:val="nil"/>
          <w:insideV w:val="nil"/>
        </w:tcBorders>
        <w:shd w:val="clear" w:color="auto" w:fill="B7F2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nhideWhenUsed/>
    <w:rsid w:val="00B36B45"/>
    <w:pPr>
      <w:spacing w:after="0" w:line="240" w:lineRule="auto"/>
    </w:pPr>
    <w:tblPr>
      <w:tblStyleRowBandSize w:val="1"/>
      <w:tblStyleColBandSize w:val="1"/>
      <w:tbl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single" w:sz="8" w:space="0" w:color="2BE1A0" w:themeColor="accent6" w:themeTint="BF"/>
      </w:tblBorders>
    </w:tblPr>
    <w:tblStylePr w:type="firstRow">
      <w:pPr>
        <w:spacing w:before="0" w:after="0" w:line="240" w:lineRule="auto"/>
      </w:pPr>
      <w:rPr>
        <w:b/>
        <w:bCs/>
        <w:color w:val="FFFFFF" w:themeColor="background1"/>
      </w:rPr>
      <w:tblPr/>
      <w:tcPr>
        <w:tc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nil"/>
          <w:insideV w:val="nil"/>
        </w:tcBorders>
        <w:shd w:val="clear" w:color="auto" w:fill="17A673" w:themeFill="accent6"/>
      </w:tcPr>
    </w:tblStylePr>
    <w:tblStylePr w:type="lastRow">
      <w:pPr>
        <w:spacing w:before="0" w:after="0" w:line="240" w:lineRule="auto"/>
      </w:pPr>
      <w:rPr>
        <w:b/>
        <w:bCs/>
      </w:rPr>
      <w:tblPr/>
      <w:tcPr>
        <w:tcBorders>
          <w:top w:val="double" w:sz="6"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nil"/>
          <w:insideV w:val="nil"/>
        </w:tcBorders>
      </w:tcPr>
    </w:tblStylePr>
    <w:tblStylePr w:type="firstCol">
      <w:rPr>
        <w:b/>
        <w:bCs/>
      </w:rPr>
    </w:tblStylePr>
    <w:tblStylePr w:type="lastCol">
      <w:rPr>
        <w:b/>
        <w:bCs/>
      </w:rPr>
    </w:tblStylePr>
    <w:tblStylePr w:type="band1Vert">
      <w:tblPr/>
      <w:tcPr>
        <w:shd w:val="clear" w:color="auto" w:fill="B9F5DF" w:themeFill="accent6" w:themeFillTint="3F"/>
      </w:tcPr>
    </w:tblStylePr>
    <w:tblStylePr w:type="band1Horz">
      <w:tblPr/>
      <w:tcPr>
        <w:tcBorders>
          <w:insideH w:val="nil"/>
          <w:insideV w:val="nil"/>
        </w:tcBorders>
        <w:shd w:val="clear" w:color="auto" w:fill="B9F5DF" w:themeFill="accent6" w:themeFillTint="3F"/>
      </w:tcPr>
    </w:tblStylePr>
    <w:tblStylePr w:type="band2Horz">
      <w:tblPr/>
      <w:tcPr>
        <w:tcBorders>
          <w:insideH w:val="nil"/>
          <w:insideV w:val="nil"/>
        </w:tcBorders>
      </w:tcPr>
    </w:tblStylePr>
  </w:style>
  <w:style w:type="table" w:styleId="MediumShading2">
    <w:name w:val="Medium Shading 2"/>
    <w:basedOn w:val="TableNormal"/>
    <w:unhideWhenUsed/>
    <w:rsid w:val="00B36B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nhideWhenUsed/>
    <w:rsid w:val="00B36B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294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B2949" w:themeFill="accent1"/>
      </w:tcPr>
    </w:tblStylePr>
    <w:tblStylePr w:type="lastCol">
      <w:rPr>
        <w:b/>
        <w:bCs/>
        <w:color w:val="FFFFFF" w:themeColor="background1"/>
      </w:rPr>
      <w:tblPr/>
      <w:tcPr>
        <w:tcBorders>
          <w:left w:val="nil"/>
          <w:right w:val="nil"/>
          <w:insideH w:val="nil"/>
          <w:insideV w:val="nil"/>
        </w:tcBorders>
        <w:shd w:val="clear" w:color="auto" w:fill="0B294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nhideWhenUsed/>
    <w:rsid w:val="00B36B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B2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B27" w:themeFill="accent2"/>
      </w:tcPr>
    </w:tblStylePr>
    <w:tblStylePr w:type="lastCol">
      <w:rPr>
        <w:b/>
        <w:bCs/>
        <w:color w:val="FFFFFF" w:themeColor="background1"/>
      </w:rPr>
      <w:tblPr/>
      <w:tcPr>
        <w:tcBorders>
          <w:left w:val="nil"/>
          <w:right w:val="nil"/>
          <w:insideH w:val="nil"/>
          <w:insideV w:val="nil"/>
        </w:tcBorders>
        <w:shd w:val="clear" w:color="auto" w:fill="D02B2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nhideWhenUsed/>
    <w:rsid w:val="00B36B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677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6771" w:themeFill="accent3"/>
      </w:tcPr>
    </w:tblStylePr>
    <w:tblStylePr w:type="lastCol">
      <w:rPr>
        <w:b/>
        <w:bCs/>
        <w:color w:val="FFFFFF" w:themeColor="background1"/>
      </w:rPr>
      <w:tblPr/>
      <w:tcPr>
        <w:tcBorders>
          <w:left w:val="nil"/>
          <w:right w:val="nil"/>
          <w:insideH w:val="nil"/>
          <w:insideV w:val="nil"/>
        </w:tcBorders>
        <w:shd w:val="clear" w:color="auto" w:fill="5B677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nhideWhenUsed/>
    <w:rsid w:val="00B36B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B51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B51C" w:themeFill="accent4"/>
      </w:tcPr>
    </w:tblStylePr>
    <w:tblStylePr w:type="lastCol">
      <w:rPr>
        <w:b/>
        <w:bCs/>
        <w:color w:val="FFFFFF" w:themeColor="background1"/>
      </w:rPr>
      <w:tblPr/>
      <w:tcPr>
        <w:tcBorders>
          <w:left w:val="nil"/>
          <w:right w:val="nil"/>
          <w:insideH w:val="nil"/>
          <w:insideV w:val="nil"/>
        </w:tcBorders>
        <w:shd w:val="clear" w:color="auto" w:fill="F1B51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nhideWhenUsed/>
    <w:rsid w:val="00B36B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939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89394" w:themeFill="accent5"/>
      </w:tcPr>
    </w:tblStylePr>
    <w:tblStylePr w:type="lastCol">
      <w:rPr>
        <w:b/>
        <w:bCs/>
        <w:color w:val="FFFFFF" w:themeColor="background1"/>
      </w:rPr>
      <w:tblPr/>
      <w:tcPr>
        <w:tcBorders>
          <w:left w:val="nil"/>
          <w:right w:val="nil"/>
          <w:insideH w:val="nil"/>
          <w:insideV w:val="nil"/>
        </w:tcBorders>
        <w:shd w:val="clear" w:color="auto" w:fill="18939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nhideWhenUsed/>
    <w:rsid w:val="00B36B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6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A673" w:themeFill="accent6"/>
      </w:tcPr>
    </w:tblStylePr>
    <w:tblStylePr w:type="lastCol">
      <w:rPr>
        <w:b/>
        <w:bCs/>
        <w:color w:val="FFFFFF" w:themeColor="background1"/>
      </w:rPr>
      <w:tblPr/>
      <w:tcPr>
        <w:tcBorders>
          <w:left w:val="nil"/>
          <w:right w:val="nil"/>
          <w:insideH w:val="nil"/>
          <w:insideV w:val="nil"/>
        </w:tcBorders>
        <w:shd w:val="clear" w:color="auto" w:fill="17A6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qFormat/>
    <w:rsid w:val="00AF1C85"/>
    <w:rPr>
      <w:color w:val="2B579A"/>
      <w:shd w:val="clear" w:color="auto" w:fill="E1DFDD"/>
    </w:rPr>
  </w:style>
  <w:style w:type="paragraph" w:styleId="MessageHeader">
    <w:name w:val="Message Header"/>
    <w:basedOn w:val="Normal"/>
    <w:link w:val="MessageHeaderChar"/>
    <w:qFormat/>
    <w:rsid w:val="00B36B4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36B45"/>
    <w:rPr>
      <w:rFonts w:asciiTheme="majorHAnsi" w:eastAsiaTheme="majorEastAsia" w:hAnsiTheme="majorHAnsi" w:cstheme="majorBidi"/>
      <w:sz w:val="24"/>
      <w:szCs w:val="24"/>
      <w:shd w:val="pct20" w:color="auto" w:fill="auto"/>
    </w:rPr>
  </w:style>
  <w:style w:type="paragraph" w:styleId="NormalWeb">
    <w:name w:val="Normal (Web)"/>
    <w:basedOn w:val="Normal"/>
    <w:qFormat/>
    <w:rsid w:val="00B36B45"/>
    <w:rPr>
      <w:rFonts w:ascii="Times New Roman" w:hAnsi="Times New Roman" w:cs="Times New Roman"/>
      <w:sz w:val="24"/>
      <w:szCs w:val="24"/>
    </w:rPr>
  </w:style>
  <w:style w:type="paragraph" w:styleId="NormalIndent">
    <w:name w:val="Normal Indent"/>
    <w:basedOn w:val="Normal"/>
    <w:qFormat/>
    <w:rsid w:val="00B36B45"/>
    <w:pPr>
      <w:ind w:left="720"/>
    </w:pPr>
  </w:style>
  <w:style w:type="character" w:styleId="PageNumber">
    <w:name w:val="page number"/>
    <w:basedOn w:val="DefaultParagraphFont"/>
    <w:qFormat/>
    <w:rsid w:val="00AF1C85"/>
  </w:style>
  <w:style w:type="table" w:styleId="PlainTable1">
    <w:name w:val="Plain Table 1"/>
    <w:basedOn w:val="TableNormal"/>
    <w:rsid w:val="00B36B4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B36B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rsid w:val="00B36B4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rsid w:val="00B36B4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rsid w:val="00B36B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qFormat/>
    <w:rsid w:val="00B36B45"/>
    <w:pPr>
      <w:spacing w:after="0" w:line="240" w:lineRule="auto"/>
    </w:pPr>
    <w:rPr>
      <w:rFonts w:ascii="Consolas" w:hAnsi="Consolas"/>
      <w:sz w:val="21"/>
      <w:szCs w:val="21"/>
    </w:rPr>
  </w:style>
  <w:style w:type="character" w:customStyle="1" w:styleId="PlainTextChar">
    <w:name w:val="Plain Text Char"/>
    <w:basedOn w:val="DefaultParagraphFont"/>
    <w:link w:val="PlainText"/>
    <w:rsid w:val="00B36B45"/>
    <w:rPr>
      <w:rFonts w:ascii="Consolas" w:hAnsi="Consolas"/>
      <w:sz w:val="21"/>
      <w:szCs w:val="21"/>
    </w:rPr>
  </w:style>
  <w:style w:type="paragraph" w:styleId="Signature">
    <w:name w:val="Signature"/>
    <w:basedOn w:val="Normal"/>
    <w:link w:val="SignatureChar"/>
    <w:qFormat/>
    <w:rsid w:val="00B36B45"/>
    <w:pPr>
      <w:spacing w:after="0" w:line="240" w:lineRule="auto"/>
      <w:ind w:left="4320"/>
    </w:pPr>
  </w:style>
  <w:style w:type="character" w:customStyle="1" w:styleId="SignatureChar">
    <w:name w:val="Signature Char"/>
    <w:basedOn w:val="DefaultParagraphFont"/>
    <w:link w:val="Signature"/>
    <w:rsid w:val="00B36B45"/>
  </w:style>
  <w:style w:type="character" w:styleId="SmartHyperlink">
    <w:name w:val="Smart Hyperlink"/>
    <w:basedOn w:val="DefaultParagraphFont"/>
    <w:qFormat/>
    <w:rsid w:val="00AF1C85"/>
    <w:rPr>
      <w:u w:val="dotted"/>
    </w:rPr>
  </w:style>
  <w:style w:type="character" w:styleId="Strong">
    <w:name w:val="Strong"/>
    <w:basedOn w:val="DefaultParagraphFont"/>
    <w:qFormat/>
    <w:rsid w:val="00AF1C85"/>
    <w:rPr>
      <w:b/>
      <w:bCs/>
    </w:rPr>
  </w:style>
  <w:style w:type="character" w:styleId="SubtleEmphasis">
    <w:name w:val="Subtle Emphasis"/>
    <w:basedOn w:val="DefaultParagraphFont"/>
    <w:qFormat/>
    <w:rsid w:val="00AF1C85"/>
    <w:rPr>
      <w:i/>
      <w:iCs/>
      <w:color w:val="404040" w:themeColor="text1" w:themeTint="BF"/>
    </w:rPr>
  </w:style>
  <w:style w:type="character" w:styleId="SubtleReference">
    <w:name w:val="Subtle Reference"/>
    <w:basedOn w:val="DefaultParagraphFont"/>
    <w:qFormat/>
    <w:rsid w:val="00AF1C85"/>
    <w:rPr>
      <w:smallCaps/>
      <w:color w:val="5A5A5A" w:themeColor="text1" w:themeTint="A5"/>
    </w:rPr>
  </w:style>
  <w:style w:type="table" w:styleId="Table3Deffects1">
    <w:name w:val="Table 3D effects 1"/>
    <w:basedOn w:val="TableNormal"/>
    <w:unhideWhenUsed/>
    <w:rsid w:val="00B36B45"/>
    <w:pPr>
      <w:spacing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B36B45"/>
    <w:pPr>
      <w:spacing w:line="264"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B36B45"/>
    <w:pPr>
      <w:spacing w:line="264"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nhideWhenUsed/>
    <w:rsid w:val="00B36B45"/>
    <w:pPr>
      <w:spacing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B36B45"/>
    <w:pPr>
      <w:spacing w:line="26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B36B45"/>
    <w:pPr>
      <w:spacing w:line="264"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B36B45"/>
    <w:pPr>
      <w:spacing w:line="264"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B36B45"/>
    <w:pPr>
      <w:spacing w:line="264"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B36B45"/>
    <w:pPr>
      <w:spacing w:line="264"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B36B45"/>
    <w:pPr>
      <w:spacing w:line="264"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B36B45"/>
    <w:pPr>
      <w:spacing w:line="264"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B36B45"/>
    <w:pPr>
      <w:spacing w:line="264"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B36B45"/>
    <w:pPr>
      <w:spacing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B36B45"/>
    <w:pPr>
      <w:spacing w:line="264"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B36B45"/>
    <w:pPr>
      <w:spacing w:line="264"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nhideWhenUsed/>
    <w:rsid w:val="00B36B45"/>
    <w:pPr>
      <w:spacing w:line="264"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B36B45"/>
    <w:pPr>
      <w:spacing w:line="264"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nhideWhenUsed/>
    <w:rsid w:val="00B36B4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nhideWhenUsed/>
    <w:rsid w:val="00B36B45"/>
    <w:pPr>
      <w:spacing w:line="264"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B36B45"/>
    <w:pPr>
      <w:spacing w:line="264"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B36B45"/>
    <w:pPr>
      <w:spacing w:line="264"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B36B45"/>
    <w:pPr>
      <w:spacing w:line="264"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B36B45"/>
    <w:pPr>
      <w:spacing w:line="264"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B36B45"/>
    <w:pPr>
      <w:spacing w:line="264"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B36B45"/>
    <w:pPr>
      <w:spacing w:line="264"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rsid w:val="00B36B4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nhideWhenUsed/>
    <w:rsid w:val="00B36B45"/>
    <w:pPr>
      <w:spacing w:line="264"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B36B45"/>
    <w:pPr>
      <w:spacing w:line="264"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B36B45"/>
    <w:pPr>
      <w:spacing w:line="264"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B36B45"/>
    <w:pPr>
      <w:spacing w:line="264"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B36B4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B36B45"/>
    <w:pPr>
      <w:spacing w:line="264"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B36B45"/>
    <w:pPr>
      <w:spacing w:line="264"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B36B45"/>
    <w:pPr>
      <w:spacing w:line="264"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qFormat/>
    <w:rsid w:val="00B36B45"/>
    <w:pPr>
      <w:spacing w:after="0"/>
      <w:ind w:left="220" w:hanging="220"/>
    </w:pPr>
  </w:style>
  <w:style w:type="paragraph" w:styleId="TableofFigures">
    <w:name w:val="table of figures"/>
    <w:basedOn w:val="Normal"/>
    <w:next w:val="Normal"/>
    <w:qFormat/>
    <w:rsid w:val="00B36B45"/>
    <w:pPr>
      <w:spacing w:after="0"/>
    </w:pPr>
  </w:style>
  <w:style w:type="table" w:styleId="TableProfessional">
    <w:name w:val="Table Professional"/>
    <w:basedOn w:val="TableNormal"/>
    <w:unhideWhenUsed/>
    <w:rsid w:val="00B36B4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nhideWhenUsed/>
    <w:rsid w:val="00B36B45"/>
    <w:pPr>
      <w:spacing w:line="264"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B36B45"/>
    <w:pPr>
      <w:spacing w:line="264"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B36B45"/>
    <w:pPr>
      <w:spacing w:line="264"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B36B45"/>
    <w:pPr>
      <w:spacing w:line="264"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B36B45"/>
    <w:pPr>
      <w:spacing w:line="264"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nhideWhenUsed/>
    <w:rsid w:val="00B36B4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nhideWhenUsed/>
    <w:rsid w:val="00B36B45"/>
    <w:pPr>
      <w:spacing w:line="26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B36B45"/>
    <w:pPr>
      <w:spacing w:line="264"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B36B45"/>
    <w:pPr>
      <w:spacing w:line="264"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qFormat/>
    <w:rsid w:val="00B36B45"/>
    <w:pPr>
      <w:spacing w:before="120"/>
    </w:pPr>
    <w:rPr>
      <w:rFonts w:asciiTheme="majorHAnsi" w:eastAsiaTheme="majorEastAsia" w:hAnsiTheme="majorHAnsi" w:cstheme="majorBidi"/>
      <w:b/>
      <w:bCs/>
      <w:sz w:val="24"/>
      <w:szCs w:val="24"/>
    </w:rPr>
  </w:style>
  <w:style w:type="paragraph" w:styleId="TOC5">
    <w:name w:val="toc 5"/>
    <w:basedOn w:val="Normal"/>
    <w:next w:val="Normal"/>
    <w:qFormat/>
    <w:rsid w:val="00B36B45"/>
    <w:pPr>
      <w:spacing w:after="100"/>
      <w:ind w:left="880"/>
    </w:pPr>
    <w:rPr>
      <w:rFonts w:asciiTheme="majorHAnsi" w:hAnsiTheme="majorHAnsi"/>
    </w:rPr>
  </w:style>
  <w:style w:type="paragraph" w:styleId="TOC6">
    <w:name w:val="toc 6"/>
    <w:basedOn w:val="Normal"/>
    <w:next w:val="Normal"/>
    <w:qFormat/>
    <w:rsid w:val="00B36B45"/>
    <w:pPr>
      <w:spacing w:after="100"/>
      <w:ind w:left="1100"/>
    </w:pPr>
    <w:rPr>
      <w:rFonts w:asciiTheme="majorHAnsi" w:hAnsiTheme="majorHAnsi"/>
    </w:rPr>
  </w:style>
  <w:style w:type="paragraph" w:styleId="TOC7">
    <w:name w:val="toc 7"/>
    <w:basedOn w:val="Normal"/>
    <w:next w:val="Normal"/>
    <w:qFormat/>
    <w:rsid w:val="00B36B45"/>
    <w:pPr>
      <w:spacing w:after="100"/>
      <w:ind w:left="1320"/>
    </w:pPr>
    <w:rPr>
      <w:rFonts w:asciiTheme="majorHAnsi" w:hAnsiTheme="majorHAnsi"/>
    </w:rPr>
  </w:style>
  <w:style w:type="paragraph" w:styleId="TOC8">
    <w:name w:val="toc 8"/>
    <w:basedOn w:val="Normal"/>
    <w:next w:val="Normal"/>
    <w:qFormat/>
    <w:rsid w:val="00B21006"/>
    <w:pPr>
      <w:tabs>
        <w:tab w:val="right" w:leader="dot" w:pos="9360"/>
      </w:tabs>
      <w:spacing w:before="140" w:after="160"/>
      <w:ind w:left="1080" w:right="720" w:hanging="1080"/>
    </w:pPr>
    <w:rPr>
      <w:rFonts w:asciiTheme="majorHAnsi" w:hAnsiTheme="majorHAnsi"/>
      <w:sz w:val="19"/>
    </w:rPr>
  </w:style>
  <w:style w:type="paragraph" w:styleId="TOC9">
    <w:name w:val="toc 9"/>
    <w:basedOn w:val="Normal"/>
    <w:next w:val="Normal"/>
    <w:qFormat/>
    <w:rsid w:val="00AF1CD5"/>
    <w:pPr>
      <w:tabs>
        <w:tab w:val="right" w:leader="dot" w:pos="9360"/>
      </w:tabs>
      <w:spacing w:before="140" w:after="160"/>
      <w:ind w:left="720" w:right="720" w:hanging="720"/>
    </w:pPr>
    <w:rPr>
      <w:rFonts w:asciiTheme="majorHAnsi" w:hAnsiTheme="majorHAnsi"/>
      <w:sz w:val="19"/>
    </w:rPr>
  </w:style>
  <w:style w:type="character" w:styleId="SmartLink">
    <w:name w:val="Smart Link"/>
    <w:basedOn w:val="DefaultParagraphFont"/>
    <w:unhideWhenUsed/>
    <w:qFormat/>
    <w:rsid w:val="00B33C98"/>
    <w:rPr>
      <w:color w:val="0563C1" w:themeColor="hyperlink"/>
      <w:u w:val="single"/>
      <w:shd w:val="clear" w:color="auto" w:fill="E1DFDD"/>
    </w:rPr>
  </w:style>
  <w:style w:type="character" w:customStyle="1" w:styleId="SmartLinkError">
    <w:name w:val="Smart Link Error"/>
    <w:basedOn w:val="DefaultParagraphFont"/>
    <w:unhideWhenUsed/>
    <w:qFormat/>
    <w:rsid w:val="00B33C98"/>
    <w:rPr>
      <w:color w:val="FF0000"/>
    </w:rPr>
  </w:style>
  <w:style w:type="paragraph" w:customStyle="1" w:styleId="FootnoteSep">
    <w:name w:val="Footnote Sep"/>
    <w:basedOn w:val="Normal"/>
    <w:qFormat/>
    <w:rsid w:val="000C2310"/>
    <w:pPr>
      <w:pBdr>
        <w:top w:val="single" w:sz="4" w:space="1" w:color="046B5C" w:themeColor="text2"/>
      </w:pBdr>
      <w:spacing w:before="80" w:after="80" w:line="40" w:lineRule="exact"/>
    </w:pPr>
    <w:rPr>
      <w:rFonts w:eastAsia="Times New Roman" w:cs="Times New Roman"/>
      <w:color w:val="FFFFFF" w:themeColor="background1"/>
      <w:sz w:val="4"/>
      <w:szCs w:val="20"/>
    </w:rPr>
  </w:style>
  <w:style w:type="paragraph" w:customStyle="1" w:styleId="FooterLetterhead">
    <w:name w:val="Footer Letterhead"/>
    <w:basedOn w:val="Footer"/>
    <w:qFormat/>
    <w:rsid w:val="00B36B45"/>
    <w:pPr>
      <w:spacing w:before="360" w:line="336" w:lineRule="auto"/>
      <w:ind w:left="-1080" w:right="-1080"/>
      <w:contextualSpacing/>
      <w:jc w:val="center"/>
    </w:pPr>
    <w:rPr>
      <w:color w:val="0B2949" w:themeColor="accent1"/>
    </w:rPr>
  </w:style>
  <w:style w:type="paragraph" w:customStyle="1" w:styleId="CSDPtitle">
    <w:name w:val="CSDP_title"/>
    <w:basedOn w:val="CoverAuthor"/>
    <w:qFormat/>
    <w:rsid w:val="0072029D"/>
    <w:pPr>
      <w:spacing w:before="1080" w:line="252" w:lineRule="auto"/>
      <w:ind w:left="-720"/>
    </w:pPr>
    <w:rPr>
      <w:b/>
      <w:bCs w:val="0"/>
      <w:smallCaps/>
    </w:rPr>
  </w:style>
  <w:style w:type="paragraph" w:customStyle="1" w:styleId="TableTextIndent">
    <w:name w:val="Table Text Indent"/>
    <w:basedOn w:val="TableTextLeft"/>
    <w:qFormat/>
    <w:rsid w:val="00B36B45"/>
    <w:pPr>
      <w:ind w:left="216"/>
    </w:pPr>
  </w:style>
  <w:style w:type="paragraph" w:customStyle="1" w:styleId="TableTextIndent2">
    <w:name w:val="Table Text Indent 2"/>
    <w:basedOn w:val="TableTextLeft"/>
    <w:qFormat/>
    <w:rsid w:val="00B36B45"/>
    <w:pPr>
      <w:ind w:left="432"/>
    </w:pPr>
  </w:style>
  <w:style w:type="table" w:customStyle="1" w:styleId="BaseTable">
    <w:name w:val="Base Table"/>
    <w:basedOn w:val="TableNormal"/>
    <w:rsid w:val="0045427A"/>
    <w:pPr>
      <w:spacing w:before="40" w:after="20" w:line="240" w:lineRule="auto"/>
    </w:pPr>
    <w:rPr>
      <w:rFonts w:asciiTheme="majorHAnsi" w:hAnsiTheme="majorHAnsi"/>
      <w:sz w:val="18"/>
    </w:rPr>
    <w:tblPr>
      <w:tblBorders>
        <w:bottom w:val="single" w:sz="4" w:space="0" w:color="046B5C" w:themeColor="text2"/>
        <w:insideH w:val="single" w:sz="4" w:space="0" w:color="5B6771" w:themeColor="accent3"/>
        <w:insideV w:val="single" w:sz="4" w:space="0" w:color="5B6771" w:themeColor="accent3"/>
      </w:tblBorders>
      <w:tblCellMar>
        <w:left w:w="58" w:type="dxa"/>
        <w:right w:w="58" w:type="dxa"/>
      </w:tblCellMar>
    </w:tblPr>
    <w:tcPr>
      <w:shd w:val="clear" w:color="auto" w:fill="FFFFFF" w:themeFill="background1"/>
    </w:tcPr>
    <w:tblStylePr w:type="firstRow">
      <w:rPr>
        <w:b/>
        <w:color w:val="FFFFFF" w:themeColor="background1"/>
      </w:rPr>
      <w:tblPr/>
      <w:tcPr>
        <w:tcBorders>
          <w:top w:val="nil"/>
          <w:left w:val="nil"/>
          <w:bottom w:val="single" w:sz="4" w:space="0" w:color="046B5C" w:themeColor="text2"/>
          <w:right w:val="nil"/>
          <w:insideH w:val="nil"/>
          <w:insideV w:val="single" w:sz="4" w:space="0" w:color="FFFFFF" w:themeColor="background1"/>
          <w:tl2br w:val="nil"/>
          <w:tr2bl w:val="nil"/>
        </w:tcBorders>
        <w:shd w:val="clear" w:color="auto" w:fill="046B5C" w:themeFill="text2"/>
        <w:vAlign w:val="bottom"/>
      </w:tcPr>
    </w:tblStylePr>
  </w:style>
  <w:style w:type="character" w:customStyle="1" w:styleId="mathematicaorgChar">
    <w:name w:val="mathematica.org Char"/>
    <w:basedOn w:val="DefaultParagraphFont"/>
    <w:link w:val="mathematicaorg"/>
    <w:rsid w:val="00432C64"/>
    <w:rPr>
      <w:rFonts w:asciiTheme="majorHAnsi" w:eastAsia="Times New Roman" w:hAnsiTheme="majorHAnsi" w:cs="Times New Roman"/>
      <w:noProof/>
      <w:spacing w:val="-2"/>
      <w:sz w:val="18"/>
      <w:szCs w:val="19"/>
    </w:rPr>
  </w:style>
  <w:style w:type="paragraph" w:customStyle="1" w:styleId="Title2">
    <w:name w:val="Title 2"/>
    <w:basedOn w:val="Title"/>
    <w:qFormat/>
    <w:rsid w:val="000600F5"/>
    <w:rPr>
      <w:b w:val="0"/>
      <w:color w:val="046B5C" w:themeColor="text2"/>
      <w:sz w:val="44"/>
    </w:rPr>
  </w:style>
  <w:style w:type="table" w:styleId="TableGrid">
    <w:name w:val="Table Grid"/>
    <w:basedOn w:val="TableNormal"/>
    <w:rsid w:val="00366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 Bullet 1"/>
    <w:basedOn w:val="Normal"/>
    <w:qFormat/>
    <w:rsid w:val="007C3F1F"/>
    <w:pPr>
      <w:numPr>
        <w:numId w:val="27"/>
      </w:numPr>
      <w:spacing w:after="100"/>
    </w:pPr>
  </w:style>
  <w:style w:type="character" w:customStyle="1" w:styleId="HyperlinkEnd">
    <w:name w:val="Hyperlink End"/>
    <w:basedOn w:val="DefaultParagraphFont"/>
    <w:qFormat/>
    <w:rsid w:val="00B600F7"/>
    <w:rPr>
      <w:rFonts w:asciiTheme="majorHAnsi" w:hAnsiTheme="majorHAnsi" w:cstheme="majorHAnsi"/>
      <w:b w:val="0"/>
      <w:bCs/>
      <w:color w:val="0B2949" w:themeColor="accent1"/>
      <w:sz w:val="18"/>
      <w:szCs w:val="18"/>
      <w:u w:val="single"/>
    </w:rPr>
  </w:style>
  <w:style w:type="paragraph" w:customStyle="1" w:styleId="SidebarSubhead">
    <w:name w:val="Sidebar Subhead"/>
    <w:basedOn w:val="Sidebar"/>
    <w:next w:val="Sidebar"/>
    <w:qFormat/>
    <w:rsid w:val="006507E2"/>
    <w:pPr>
      <w:spacing w:before="100" w:after="0"/>
    </w:pPr>
    <w:rPr>
      <w:b/>
      <w:bCs/>
    </w:rPr>
  </w:style>
  <w:style w:type="table" w:customStyle="1" w:styleId="TanCell">
    <w:name w:val="Tan Cell"/>
    <w:basedOn w:val="TableNormal"/>
    <w:rsid w:val="003C4F31"/>
    <w:pPr>
      <w:spacing w:after="0" w:line="240" w:lineRule="auto"/>
    </w:pPr>
    <w:rPr>
      <w:rFonts w:asciiTheme="majorHAnsi" w:hAnsiTheme="majorHAnsi"/>
      <w:sz w:val="18"/>
    </w:rPr>
    <w:tblPr>
      <w:tblCellMar>
        <w:top w:w="72" w:type="dxa"/>
        <w:left w:w="144" w:type="dxa"/>
        <w:bottom w:w="72" w:type="dxa"/>
        <w:right w:w="144" w:type="dxa"/>
      </w:tblCellMar>
    </w:tblPr>
    <w:tcPr>
      <w:shd w:val="clear" w:color="auto" w:fill="F8F6F0" w:themeFill="background2" w:themeFillTint="33"/>
    </w:tcPr>
  </w:style>
  <w:style w:type="table" w:customStyle="1" w:styleId="GrayCell">
    <w:name w:val="Gray Cell"/>
    <w:basedOn w:val="TableNormal"/>
    <w:rsid w:val="003C4F31"/>
    <w:pPr>
      <w:spacing w:after="0" w:line="240" w:lineRule="auto"/>
    </w:pPr>
    <w:rPr>
      <w:sz w:val="18"/>
    </w:rPr>
    <w:tblPr>
      <w:tblCellMar>
        <w:top w:w="72" w:type="dxa"/>
        <w:left w:w="144" w:type="dxa"/>
        <w:bottom w:w="72" w:type="dxa"/>
        <w:right w:w="144" w:type="dxa"/>
      </w:tblCellMar>
    </w:tblPr>
    <w:tcPr>
      <w:shd w:val="clear" w:color="auto" w:fill="F2F2F2" w:themeFill="background1" w:themeFillShade="F2"/>
    </w:tcPr>
  </w:style>
  <w:style w:type="character" w:customStyle="1" w:styleId="cf01">
    <w:name w:val="cf01"/>
    <w:basedOn w:val="DefaultParagraphFont"/>
    <w:qFormat/>
    <w:rsid w:val="00DE6FC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thematica.org/staff/ryan-ruggiero" TargetMode="External"/><Relationship Id="rId18" Type="http://schemas.openxmlformats.org/officeDocument/2006/relationships/image" Target="media/image6.png"/><Relationship Id="rId26" Type="http://schemas.openxmlformats.org/officeDocument/2006/relationships/hyperlink" Target="http://www.familyeconomicmobility.com" TargetMode="External"/><Relationship Id="rId3" Type="http://schemas.openxmlformats.org/officeDocument/2006/relationships/customXml" Target="../customXml/item3.xml"/><Relationship Id="rId21" Type="http://schemas.openxmlformats.org/officeDocument/2006/relationships/image" Target="media/image9.sv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mathematica.org/staff/elizabeth-mugo" TargetMode="External"/><Relationship Id="rId17" Type="http://schemas.openxmlformats.org/officeDocument/2006/relationships/image" Target="media/image5.svg"/><Relationship Id="rId25" Type="http://schemas.openxmlformats.org/officeDocument/2006/relationships/image" Target="media/image13.sv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svg"/><Relationship Id="rId23" Type="http://schemas.openxmlformats.org/officeDocument/2006/relationships/image" Target="media/image11.svg"/><Relationship Id="rId28" Type="http://schemas.openxmlformats.org/officeDocument/2006/relationships/hyperlink" Target="http://www.wkkf.org" TargetMode="External"/><Relationship Id="rId10" Type="http://schemas.openxmlformats.org/officeDocument/2006/relationships/endnotes" Target="endnotes.xml"/><Relationship Id="rId19" Type="http://schemas.openxmlformats.org/officeDocument/2006/relationships/image" Target="media/image7.sv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www.dorisduke.org"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fsg.org/publications/water_of_systems_chang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5MathU-Brief.dotm" TargetMode="External"/></Relationships>
</file>

<file path=word/theme/theme1.xml><?xml version="1.0" encoding="utf-8"?>
<a:theme xmlns:a="http://schemas.openxmlformats.org/drawingml/2006/main" name="MathematicaUniversal">
  <a:themeElements>
    <a:clrScheme name="Custom 72">
      <a:dk1>
        <a:sysClr val="windowText" lastClr="000000"/>
      </a:dk1>
      <a:lt1>
        <a:sysClr val="window" lastClr="FFFFFF"/>
      </a:lt1>
      <a:dk2>
        <a:srgbClr val="046B5C"/>
      </a:dk2>
      <a:lt2>
        <a:srgbClr val="E0D4B5"/>
      </a:lt2>
      <a:accent1>
        <a:srgbClr val="0B2949"/>
      </a:accent1>
      <a:accent2>
        <a:srgbClr val="D02B27"/>
      </a:accent2>
      <a:accent3>
        <a:srgbClr val="5B6771"/>
      </a:accent3>
      <a:accent4>
        <a:srgbClr val="F1B51C"/>
      </a:accent4>
      <a:accent5>
        <a:srgbClr val="189394"/>
      </a:accent5>
      <a:accent6>
        <a:srgbClr val="17A673"/>
      </a:accent6>
      <a:hlink>
        <a:srgbClr val="0563C1"/>
      </a:hlink>
      <a:folHlink>
        <a:srgbClr val="0563C1"/>
      </a:folHlink>
    </a:clrScheme>
    <a:fontScheme name="Custom 79">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athematicaUniversal" id="{BB05129C-F736-476A-B98F-8146642B56CC}" vid="{081D5247-F3CF-45D3-9D58-60382E69F0C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F54F85C9FDCE40AE36C885B4419074" ma:contentTypeVersion="5" ma:contentTypeDescription="Create a new document." ma:contentTypeScope="" ma:versionID="96bce99552ce355b0408c83c3cd15e17">
  <xsd:schema xmlns:xsd="http://www.w3.org/2001/XMLSchema" xmlns:xs="http://www.w3.org/2001/XMLSchema" xmlns:p="http://schemas.microsoft.com/office/2006/metadata/properties" xmlns:ns2="247b9526-e1bd-4196-b37b-660c889c0b79" targetNamespace="http://schemas.microsoft.com/office/2006/metadata/properties" ma:root="true" ma:fieldsID="6262f3bfad5a0cda7743c84f31ab9d48" ns2:_="">
    <xsd:import namespace="247b9526-e1bd-4196-b37b-660c889c0b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b9526-e1bd-4196-b37b-660c889c0b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A825B6-38DB-4FB2-89ED-E3A2F4404C8A}">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2006/metadata/properties"/>
    <ds:schemaRef ds:uri="http://purl.org/dc/elements/1.1/"/>
    <ds:schemaRef ds:uri="http://schemas.microsoft.com/office/infopath/2007/PartnerControls"/>
    <ds:schemaRef ds:uri="247b9526-e1bd-4196-b37b-660c889c0b79"/>
    <ds:schemaRef ds:uri="http://www.w3.org/XML/1998/namespace"/>
  </ds:schemaRefs>
</ds:datastoreItem>
</file>

<file path=customXml/itemProps3.xml><?xml version="1.0" encoding="utf-8"?>
<ds:datastoreItem xmlns:ds="http://schemas.openxmlformats.org/officeDocument/2006/customXml" ds:itemID="{5C30E878-8E61-4EBE-B160-1B815F6BB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b9526-e1bd-4196-b37b-660c889c0b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C01317-4238-4DA8-A460-5B56F63DA8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5MathU-Brief.dotm</Template>
  <TotalTime>1</TotalTime>
  <Pages>16</Pages>
  <Words>5874</Words>
  <Characters>33483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Mathematica Brief</vt:lpstr>
    </vt:vector>
  </TitlesOfParts>
  <Manager/>
  <Company/>
  <LinksUpToDate>false</LinksUpToDate>
  <CharactersWithSpaces>39279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Mathematica Brief</dc:title>
  <dc:subject/>
  <dc:creator>Sheryl Friedlander</dc:creator>
  <cp:keywords/>
  <dc:description/>
  <cp:lastModifiedBy>Ryan Ruggiero</cp:lastModifiedBy>
  <cp:revision>2</cp:revision>
  <cp:lastPrinted>2020-09-11T21:32:00Z</cp:lastPrinted>
  <dcterms:created xsi:type="dcterms:W3CDTF">2024-06-28T20:42:00Z</dcterms:created>
  <dcterms:modified xsi:type="dcterms:W3CDTF">2024-06-28T20:42:00Z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0x010100D8F54F85C9FDCE40AE36C885B4419074</vt:lpwstr>
  </property>
  <property fmtid="{D5CDD505-2E9C-101B-9397-08002B2CF9AE}" pid="3" name="Template Notes">
    <vt:lpwstr>Will be renamed before rollout. this will be the key Template upon which proposal and custom templates will be based.</vt:lpwstr>
  </property>
  <property fmtid="{D5CDD505-2E9C-101B-9397-08002B2CF9AE}" pid="4" name="Project Deliverable">
    <vt:lpwstr>All</vt:lpwstr>
  </property>
  <property fmtid="{D5CDD505-2E9C-101B-9397-08002B2CF9AE}" pid="5" name="Document Version">
    <vt:lpwstr>Working</vt:lpwstr>
  </property>
  <property fmtid="{D5CDD505-2E9C-101B-9397-08002B2CF9AE}" pid="6" name="Template Category">
    <vt:lpwstr>MSW Interior text</vt:lpwstr>
  </property>
  <property fmtid="{D5CDD505-2E9C-101B-9397-08002B2CF9AE}" pid="7" name="Degree">
    <vt:lpwstr/>
  </property>
  <property fmtid="{D5CDD505-2E9C-101B-9397-08002B2CF9AE}" pid="8" name="Resume Status">
    <vt:lpwstr/>
  </property>
  <property fmtid="{D5CDD505-2E9C-101B-9397-08002B2CF9AE}" pid="9" name="MPR Status">
    <vt:lpwstr/>
  </property>
  <property fmtid="{D5CDD505-2E9C-101B-9397-08002B2CF9AE}" pid="10" name="Language Proficiency">
    <vt:lpwstr/>
  </property>
  <property fmtid="{D5CDD505-2E9C-101B-9397-08002B2CF9AE}" pid="11" name="Document Category">
    <vt:lpwstr/>
  </property>
  <property fmtid="{D5CDD505-2E9C-101B-9397-08002B2CF9AE}" pid="12" name="Resume Contact">
    <vt:lpwstr/>
  </property>
  <property fmtid="{D5CDD505-2E9C-101B-9397-08002B2CF9AE}" pid="13" name="Division">
    <vt:lpwstr/>
  </property>
  <property fmtid="{D5CDD505-2E9C-101B-9397-08002B2CF9AE}" pid="14" name="MPR Experienc">
    <vt:lpwstr/>
  </property>
  <property fmtid="{D5CDD505-2E9C-101B-9397-08002B2CF9AE}" pid="15" name="Focus Areas">
    <vt:lpwstr/>
  </property>
  <property fmtid="{D5CDD505-2E9C-101B-9397-08002B2CF9AE}" pid="16" name="ID Number">
    <vt:lpwstr/>
  </property>
  <property fmtid="{D5CDD505-2E9C-101B-9397-08002B2CF9AE}" pid="17" name="Position Title">
    <vt:lpwstr/>
  </property>
</Properties>
</file>